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B45BE" w14:textId="64803288" w:rsidR="004D1669" w:rsidRDefault="00C95910">
      <w:r w:rsidRPr="00C95910">
        <w:rPr>
          <w:noProof/>
        </w:rPr>
        <w:drawing>
          <wp:anchor distT="0" distB="0" distL="114300" distR="114300" simplePos="0" relativeHeight="251659264" behindDoc="0" locked="0" layoutInCell="1" allowOverlap="1" wp14:anchorId="3CEB5F25" wp14:editId="4CC97F6E">
            <wp:simplePos x="0" y="0"/>
            <wp:positionH relativeFrom="margin">
              <wp:posOffset>1526540</wp:posOffset>
            </wp:positionH>
            <wp:positionV relativeFrom="paragraph">
              <wp:posOffset>76200</wp:posOffset>
            </wp:positionV>
            <wp:extent cx="1458595" cy="693420"/>
            <wp:effectExtent l="0" t="0" r="8255" b="0"/>
            <wp:wrapSquare wrapText="bothSides"/>
            <wp:docPr id="990746792" name="Image 1"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46792" name="Image 1" descr="Une image contenant Police, Graphique, logo,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58595" cy="693420"/>
                    </a:xfrm>
                    <a:prstGeom prst="rect">
                      <a:avLst/>
                    </a:prstGeom>
                  </pic:spPr>
                </pic:pic>
              </a:graphicData>
            </a:graphic>
            <wp14:sizeRelH relativeFrom="margin">
              <wp14:pctWidth>0</wp14:pctWidth>
            </wp14:sizeRelH>
            <wp14:sizeRelV relativeFrom="margin">
              <wp14:pctHeight>0</wp14:pctHeight>
            </wp14:sizeRelV>
          </wp:anchor>
        </w:drawing>
      </w:r>
      <w:r w:rsidRPr="00C95910">
        <w:rPr>
          <w:noProof/>
        </w:rPr>
        <w:drawing>
          <wp:anchor distT="0" distB="0" distL="114300" distR="114300" simplePos="0" relativeHeight="251658240" behindDoc="1" locked="0" layoutInCell="1" allowOverlap="1" wp14:anchorId="2C8D4FD4" wp14:editId="6E0E5C0F">
            <wp:simplePos x="0" y="0"/>
            <wp:positionH relativeFrom="column">
              <wp:posOffset>3085465</wp:posOffset>
            </wp:positionH>
            <wp:positionV relativeFrom="paragraph">
              <wp:posOffset>0</wp:posOffset>
            </wp:positionV>
            <wp:extent cx="982980" cy="851535"/>
            <wp:effectExtent l="0" t="0" r="7620" b="5715"/>
            <wp:wrapTight wrapText="bothSides">
              <wp:wrapPolygon edited="0">
                <wp:start x="0" y="0"/>
                <wp:lineTo x="0" y="21262"/>
                <wp:lineTo x="21349" y="21262"/>
                <wp:lineTo x="21349" y="0"/>
                <wp:lineTo x="0" y="0"/>
              </wp:wrapPolygon>
            </wp:wrapTight>
            <wp:docPr id="1075203089"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03089" name="Image 1" descr="Une image contenant Police, texte, Graphique, logo&#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851535"/>
                    </a:xfrm>
                    <a:prstGeom prst="rect">
                      <a:avLst/>
                    </a:prstGeom>
                  </pic:spPr>
                </pic:pic>
              </a:graphicData>
            </a:graphic>
            <wp14:sizeRelH relativeFrom="margin">
              <wp14:pctWidth>0</wp14:pctWidth>
            </wp14:sizeRelH>
            <wp14:sizeRelV relativeFrom="margin">
              <wp14:pctHeight>0</wp14:pctHeight>
            </wp14:sizeRelV>
          </wp:anchor>
        </w:drawing>
      </w:r>
    </w:p>
    <w:p w14:paraId="2C0E8715" w14:textId="1ED9135F" w:rsidR="00C95910" w:rsidRDefault="00C95910"/>
    <w:p w14:paraId="02A632F4" w14:textId="77777777" w:rsidR="00C95910" w:rsidRPr="00C95910" w:rsidRDefault="00C95910">
      <w:pPr>
        <w:rPr>
          <w:rFonts w:ascii="Calibri" w:hAnsi="Calibri" w:cs="Calibri"/>
          <w:sz w:val="22"/>
          <w:szCs w:val="22"/>
        </w:rPr>
      </w:pPr>
    </w:p>
    <w:p w14:paraId="714F919F" w14:textId="77777777" w:rsidR="00D026D0" w:rsidRDefault="00D026D0" w:rsidP="00C95910">
      <w:pPr>
        <w:jc w:val="center"/>
        <w:rPr>
          <w:rFonts w:ascii="Calibri" w:hAnsi="Calibri" w:cs="Calibri"/>
          <w:b/>
          <w:bCs/>
          <w:sz w:val="22"/>
          <w:szCs w:val="22"/>
        </w:rPr>
      </w:pPr>
    </w:p>
    <w:p w14:paraId="1C9D4B09" w14:textId="0685C49C" w:rsidR="00D026D0" w:rsidRPr="00C530E0" w:rsidRDefault="00D026D0" w:rsidP="004A7716">
      <w:pPr>
        <w:jc w:val="center"/>
        <w:rPr>
          <w:rFonts w:ascii="Calibri" w:hAnsi="Calibri" w:cs="Calibri"/>
          <w:b/>
          <w:bCs/>
          <w:sz w:val="22"/>
          <w:szCs w:val="22"/>
        </w:rPr>
      </w:pPr>
      <w:r>
        <w:rPr>
          <w:rFonts w:ascii="Calibri" w:hAnsi="Calibri" w:cs="Calibri"/>
          <w:b/>
          <w:bCs/>
          <w:sz w:val="22"/>
          <w:szCs w:val="22"/>
        </w:rPr>
        <w:t>EXPERIMENTATION Marne</w:t>
      </w:r>
      <w:r w:rsidR="00C95910" w:rsidRPr="00C530E0">
        <w:rPr>
          <w:rFonts w:ascii="Calibri" w:hAnsi="Calibri" w:cs="Calibri"/>
          <w:b/>
          <w:bCs/>
          <w:sz w:val="22"/>
          <w:szCs w:val="22"/>
        </w:rPr>
        <w:t xml:space="preserve"> &amp; Bois Solar Map</w:t>
      </w:r>
    </w:p>
    <w:p w14:paraId="0236B57F" w14:textId="12549A09" w:rsidR="00D026D0" w:rsidRDefault="00D026D0" w:rsidP="00394717">
      <w:pPr>
        <w:jc w:val="both"/>
        <w:rPr>
          <w:rFonts w:ascii="Calibri" w:hAnsi="Calibri" w:cs="Calibri"/>
          <w:b/>
          <w:bCs/>
          <w:sz w:val="22"/>
          <w:szCs w:val="22"/>
        </w:rPr>
      </w:pPr>
    </w:p>
    <w:p w14:paraId="626F64F5" w14:textId="1B97F1BA" w:rsidR="00C95910" w:rsidRPr="009C05F0" w:rsidRDefault="00F45C6E" w:rsidP="00394717">
      <w:pPr>
        <w:jc w:val="both"/>
        <w:rPr>
          <w:rFonts w:ascii="Calibri" w:hAnsi="Calibri" w:cs="Calibri"/>
          <w:b/>
          <w:bCs/>
          <w:sz w:val="22"/>
          <w:szCs w:val="22"/>
        </w:rPr>
      </w:pPr>
      <w:r w:rsidRPr="009C05F0">
        <w:rPr>
          <w:rFonts w:ascii="Calibri" w:hAnsi="Calibri" w:cs="Calibri"/>
          <w:b/>
          <w:bCs/>
          <w:sz w:val="22"/>
          <w:szCs w:val="22"/>
        </w:rPr>
        <w:t xml:space="preserve">Le Contexte : </w:t>
      </w:r>
    </w:p>
    <w:p w14:paraId="0CD616C2" w14:textId="553F22E2" w:rsidR="00FC631F" w:rsidRPr="00B54A46" w:rsidRDefault="00FC631F" w:rsidP="00FC631F">
      <w:pPr>
        <w:jc w:val="both"/>
        <w:rPr>
          <w:rFonts w:ascii="Calibri" w:hAnsi="Calibri" w:cs="Calibri"/>
          <w:sz w:val="22"/>
          <w:szCs w:val="22"/>
        </w:rPr>
      </w:pPr>
      <w:r w:rsidRPr="00B54A46">
        <w:rPr>
          <w:rFonts w:ascii="Calibri" w:hAnsi="Calibri" w:cs="Calibri"/>
          <w:sz w:val="22"/>
          <w:szCs w:val="22"/>
        </w:rPr>
        <w:t xml:space="preserve">Dans le cadre de la mise en œuvre du programme d’actions du PCAET, PEMB s’appuie sur l’innovation pour accélérer les transitions. Le Territoire met en œuvre sa politique Territoire Durable et Innovant qui favorise les coopérations entre acteurs locaux, pour déployer des actions coconstruites répondant aux enjeux des transitions.  Ainsi, le pôle Développement Durable, Innovation et Coopération locales et internationales, s’appuie sur son réseau d’ambassadeurs PCAET dans les villes pour proposer d’expérimenter en situation réelle, avec des entreprises innovantes de notre écosystème, des solutions high tech ou low tech, afin de projeter un passage à l’échelle et/ou de mettre en place de nouveaux marchés sur des solutions environnementales pertinentes. </w:t>
      </w:r>
    </w:p>
    <w:p w14:paraId="2B6043A4" w14:textId="3EB86B4F" w:rsidR="00FC631F" w:rsidRPr="00B54A46" w:rsidRDefault="00FC631F" w:rsidP="00FC631F">
      <w:pPr>
        <w:jc w:val="both"/>
        <w:rPr>
          <w:rFonts w:ascii="Calibri" w:hAnsi="Calibri" w:cs="Calibri"/>
          <w:b/>
          <w:sz w:val="22"/>
          <w:szCs w:val="22"/>
        </w:rPr>
      </w:pPr>
      <w:r w:rsidRPr="00B54A46">
        <w:rPr>
          <w:rFonts w:ascii="Calibri" w:hAnsi="Calibri" w:cs="Calibri"/>
          <w:b/>
          <w:sz w:val="22"/>
          <w:szCs w:val="22"/>
        </w:rPr>
        <w:t xml:space="preserve">Les Opportunités et l’offre proposée : </w:t>
      </w:r>
    </w:p>
    <w:p w14:paraId="70EE5A5A" w14:textId="55DD4987" w:rsidR="00D026D0" w:rsidRPr="00B54A46" w:rsidRDefault="00D026D0" w:rsidP="00D026D0">
      <w:pPr>
        <w:jc w:val="both"/>
        <w:rPr>
          <w:rFonts w:ascii="Calibri" w:hAnsi="Calibri" w:cs="Calibri"/>
          <w:sz w:val="22"/>
          <w:szCs w:val="22"/>
        </w:rPr>
      </w:pPr>
      <w:r w:rsidRPr="00B54A46">
        <w:rPr>
          <w:rFonts w:ascii="Calibri" w:hAnsi="Calibri" w:cs="Calibri"/>
          <w:sz w:val="22"/>
          <w:szCs w:val="22"/>
        </w:rPr>
        <w:t>La proposition de cette expérimentation est motivée par les éléments suivants :</w:t>
      </w:r>
    </w:p>
    <w:p w14:paraId="43E72C21" w14:textId="73821387" w:rsidR="00D026D0" w:rsidRPr="00B54A46" w:rsidRDefault="00D026D0" w:rsidP="004A47EF">
      <w:pPr>
        <w:pStyle w:val="Paragraphedeliste"/>
        <w:numPr>
          <w:ilvl w:val="0"/>
          <w:numId w:val="8"/>
        </w:numPr>
        <w:jc w:val="both"/>
        <w:rPr>
          <w:rFonts w:ascii="Calibri" w:hAnsi="Calibri" w:cs="Calibri"/>
          <w:sz w:val="22"/>
          <w:szCs w:val="22"/>
        </w:rPr>
      </w:pPr>
      <w:r w:rsidRPr="00B54A46">
        <w:rPr>
          <w:rFonts w:ascii="Calibri" w:hAnsi="Calibri" w:cs="Calibri"/>
          <w:sz w:val="22"/>
          <w:szCs w:val="22"/>
        </w:rPr>
        <w:t>France 2030 accord de Paris réchauffement climatique 1.5°</w:t>
      </w:r>
      <w:r w:rsidR="00DC5B46" w:rsidRPr="00B54A46">
        <w:rPr>
          <w:rFonts w:ascii="Calibri" w:hAnsi="Calibri" w:cs="Calibri"/>
          <w:sz w:val="22"/>
          <w:szCs w:val="22"/>
        </w:rPr>
        <w:t xml:space="preserve"> du 12 décembre 2015</w:t>
      </w:r>
    </w:p>
    <w:p w14:paraId="6DA9C3E7" w14:textId="6BDCAB92" w:rsidR="00D026D0" w:rsidRPr="00B54A46" w:rsidRDefault="00D026D0" w:rsidP="00DC5B46">
      <w:pPr>
        <w:pStyle w:val="Paragraphedeliste"/>
        <w:numPr>
          <w:ilvl w:val="0"/>
          <w:numId w:val="2"/>
        </w:numPr>
        <w:jc w:val="both"/>
        <w:rPr>
          <w:rFonts w:ascii="Calibri" w:hAnsi="Calibri" w:cs="Calibri"/>
          <w:sz w:val="22"/>
          <w:szCs w:val="22"/>
        </w:rPr>
      </w:pPr>
      <w:r w:rsidRPr="00B54A46">
        <w:rPr>
          <w:rFonts w:ascii="Calibri" w:hAnsi="Calibri" w:cs="Calibri"/>
          <w:sz w:val="22"/>
          <w:szCs w:val="22"/>
        </w:rPr>
        <w:t>Loi APER loi d’accélération de la production des énergies renouvelables</w:t>
      </w:r>
      <w:r w:rsidR="00DC5B46" w:rsidRPr="00B54A46">
        <w:rPr>
          <w:rFonts w:ascii="Calibri" w:hAnsi="Calibri" w:cs="Calibri"/>
          <w:sz w:val="22"/>
          <w:szCs w:val="22"/>
        </w:rPr>
        <w:t xml:space="preserve"> du 10 mars 2023. Cette </w:t>
      </w:r>
      <w:r w:rsidRPr="00B54A46">
        <w:rPr>
          <w:rFonts w:ascii="Calibri" w:hAnsi="Calibri" w:cs="Calibri"/>
          <w:sz w:val="22"/>
          <w:szCs w:val="22"/>
        </w:rPr>
        <w:t xml:space="preserve">loi entend </w:t>
      </w:r>
      <w:r w:rsidR="00DC5B46" w:rsidRPr="00B54A46">
        <w:rPr>
          <w:rFonts w:ascii="Calibri" w:hAnsi="Calibri" w:cs="Calibri"/>
          <w:sz w:val="22"/>
          <w:szCs w:val="22"/>
        </w:rPr>
        <w:t>a</w:t>
      </w:r>
      <w:r w:rsidRPr="00B54A46">
        <w:rPr>
          <w:rFonts w:ascii="Calibri" w:hAnsi="Calibri" w:cs="Calibri"/>
          <w:sz w:val="22"/>
          <w:szCs w:val="22"/>
        </w:rPr>
        <w:t xml:space="preserve">ccélérer la production d’EnR grâce à la planification territoriale écologique. L’objectif global est de passer de 20 à 33% de production d’EnR d’ici 2030. </w:t>
      </w:r>
    </w:p>
    <w:p w14:paraId="24CD6FF4" w14:textId="61155503" w:rsidR="00D026D0" w:rsidRPr="00B54A46" w:rsidRDefault="00377401" w:rsidP="00D026D0">
      <w:pPr>
        <w:numPr>
          <w:ilvl w:val="0"/>
          <w:numId w:val="2"/>
        </w:numPr>
        <w:jc w:val="both"/>
        <w:rPr>
          <w:rFonts w:ascii="Calibri" w:hAnsi="Calibri" w:cs="Calibri"/>
          <w:sz w:val="22"/>
          <w:szCs w:val="22"/>
        </w:rPr>
      </w:pPr>
      <w:r w:rsidRPr="00B54A46">
        <w:rPr>
          <w:rFonts w:ascii="Calibri" w:hAnsi="Calibri" w:cs="Calibri"/>
          <w:sz w:val="22"/>
          <w:szCs w:val="22"/>
        </w:rPr>
        <w:t>D</w:t>
      </w:r>
      <w:r w:rsidR="00D026D0" w:rsidRPr="00B54A46">
        <w:rPr>
          <w:rFonts w:ascii="Calibri" w:hAnsi="Calibri" w:cs="Calibri"/>
          <w:sz w:val="22"/>
          <w:szCs w:val="22"/>
        </w:rPr>
        <w:t xml:space="preserve">éfinition de </w:t>
      </w:r>
      <w:r w:rsidR="00D026D0" w:rsidRPr="00B54A46">
        <w:rPr>
          <w:rFonts w:ascii="Calibri" w:hAnsi="Calibri" w:cs="Calibri"/>
          <w:b/>
          <w:bCs/>
          <w:sz w:val="22"/>
          <w:szCs w:val="22"/>
        </w:rPr>
        <w:t xml:space="preserve">Zones d’accélération d’Energies Renouvelables </w:t>
      </w:r>
      <w:r w:rsidR="00D026D0" w:rsidRPr="00B54A46">
        <w:rPr>
          <w:rFonts w:ascii="Calibri" w:hAnsi="Calibri" w:cs="Calibri"/>
          <w:sz w:val="22"/>
          <w:szCs w:val="22"/>
        </w:rPr>
        <w:t xml:space="preserve">pour permettre de mieux cibler, localement, les lieux avec le plus grand potentiel solaire. </w:t>
      </w:r>
    </w:p>
    <w:p w14:paraId="73E6BC07" w14:textId="0F4AC87F" w:rsidR="004A47EF" w:rsidRPr="00B54A46" w:rsidRDefault="00DC5B46" w:rsidP="004A47EF">
      <w:pPr>
        <w:numPr>
          <w:ilvl w:val="0"/>
          <w:numId w:val="2"/>
        </w:numPr>
        <w:jc w:val="both"/>
        <w:rPr>
          <w:rFonts w:ascii="Calibri" w:hAnsi="Calibri" w:cs="Calibri"/>
          <w:sz w:val="22"/>
          <w:szCs w:val="22"/>
        </w:rPr>
      </w:pPr>
      <w:r w:rsidRPr="00B54A46">
        <w:rPr>
          <w:rFonts w:ascii="Calibri" w:hAnsi="Calibri" w:cs="Calibri"/>
          <w:noProof/>
          <w:sz w:val="22"/>
          <w:szCs w:val="22"/>
        </w:rPr>
        <w:drawing>
          <wp:anchor distT="0" distB="0" distL="114300" distR="114300" simplePos="0" relativeHeight="251668480" behindDoc="1" locked="0" layoutInCell="1" allowOverlap="1" wp14:anchorId="259F325E" wp14:editId="022E7CA5">
            <wp:simplePos x="0" y="0"/>
            <wp:positionH relativeFrom="leftMargin">
              <wp:posOffset>5833745</wp:posOffset>
            </wp:positionH>
            <wp:positionV relativeFrom="paragraph">
              <wp:posOffset>314960</wp:posOffset>
            </wp:positionV>
            <wp:extent cx="480060" cy="417830"/>
            <wp:effectExtent l="0" t="0" r="0" b="1270"/>
            <wp:wrapTight wrapText="bothSides">
              <wp:wrapPolygon edited="0">
                <wp:start x="0" y="0"/>
                <wp:lineTo x="0" y="20681"/>
                <wp:lineTo x="20571" y="20681"/>
                <wp:lineTo x="2057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6D0" w:rsidRPr="00B54A46">
        <w:rPr>
          <w:rFonts w:ascii="Calibri" w:hAnsi="Calibri" w:cs="Calibri"/>
          <w:sz w:val="22"/>
          <w:szCs w:val="22"/>
        </w:rPr>
        <w:t xml:space="preserve">Au centre de cette initiative, les communes et les EPT sont amenés à travailler ensemble sur l’élaboration de ces zones. </w:t>
      </w:r>
    </w:p>
    <w:p w14:paraId="75C8548C" w14:textId="02837B0F" w:rsidR="004A47EF" w:rsidRPr="00B54A46" w:rsidRDefault="004A47EF" w:rsidP="004A47EF">
      <w:pPr>
        <w:pStyle w:val="Paragraphedeliste"/>
        <w:numPr>
          <w:ilvl w:val="0"/>
          <w:numId w:val="6"/>
        </w:numPr>
        <w:spacing w:line="259" w:lineRule="auto"/>
        <w:jc w:val="both"/>
        <w:rPr>
          <w:rFonts w:ascii="Calibri" w:hAnsi="Calibri" w:cs="Calibri"/>
          <w:i/>
          <w:sz w:val="22"/>
          <w:szCs w:val="22"/>
        </w:rPr>
      </w:pPr>
      <w:r w:rsidRPr="00B54A46">
        <w:rPr>
          <w:rFonts w:ascii="Calibri" w:hAnsi="Calibri" w:cs="Calibri"/>
          <w:sz w:val="22"/>
          <w:szCs w:val="22"/>
        </w:rPr>
        <w:t>La mise en œuvre du programme d’actions du PCAET (axes </w:t>
      </w:r>
      <w:r w:rsidR="00DC5B46" w:rsidRPr="00B54A46">
        <w:rPr>
          <w:rFonts w:ascii="Calibri" w:hAnsi="Calibri" w:cs="Calibri"/>
          <w:sz w:val="22"/>
          <w:szCs w:val="22"/>
        </w:rPr>
        <w:t>3,4,5</w:t>
      </w:r>
      <w:r w:rsidRPr="00B54A46">
        <w:rPr>
          <w:rFonts w:ascii="Calibri" w:hAnsi="Calibri" w:cs="Calibri"/>
          <w:sz w:val="22"/>
          <w:szCs w:val="22"/>
        </w:rPr>
        <w:t xml:space="preserve">)  </w:t>
      </w:r>
    </w:p>
    <w:p w14:paraId="21607061" w14:textId="77777777" w:rsidR="004A47EF" w:rsidRPr="00B54A46" w:rsidRDefault="004A47EF" w:rsidP="004A47EF">
      <w:pPr>
        <w:pStyle w:val="Paragraphedeliste"/>
        <w:rPr>
          <w:rFonts w:ascii="Calibri" w:hAnsi="Calibri" w:cs="Calibri"/>
          <w:sz w:val="22"/>
          <w:szCs w:val="22"/>
        </w:rPr>
      </w:pPr>
      <w:r w:rsidRPr="00B54A46">
        <w:rPr>
          <w:rFonts w:ascii="Calibri" w:hAnsi="Calibri" w:cs="Calibri"/>
          <w:noProof/>
          <w:sz w:val="22"/>
          <w:szCs w:val="22"/>
        </w:rPr>
        <w:drawing>
          <wp:anchor distT="0" distB="0" distL="114300" distR="114300" simplePos="0" relativeHeight="251666432" behindDoc="1" locked="0" layoutInCell="1" allowOverlap="1" wp14:anchorId="7C713525" wp14:editId="1E10C168">
            <wp:simplePos x="0" y="0"/>
            <wp:positionH relativeFrom="margin">
              <wp:align>right</wp:align>
            </wp:positionH>
            <wp:positionV relativeFrom="paragraph">
              <wp:posOffset>88265</wp:posOffset>
            </wp:positionV>
            <wp:extent cx="1181735" cy="419100"/>
            <wp:effectExtent l="0" t="0" r="0" b="0"/>
            <wp:wrapTight wrapText="bothSides">
              <wp:wrapPolygon edited="0">
                <wp:start x="2089" y="1964"/>
                <wp:lineTo x="348" y="11782"/>
                <wp:lineTo x="696" y="19636"/>
                <wp:lineTo x="5919" y="19636"/>
                <wp:lineTo x="20892" y="14727"/>
                <wp:lineTo x="20892" y="5891"/>
                <wp:lineTo x="4875" y="1964"/>
                <wp:lineTo x="2089" y="1964"/>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735" cy="419100"/>
                    </a:xfrm>
                    <a:prstGeom prst="rect">
                      <a:avLst/>
                    </a:prstGeom>
                  </pic:spPr>
                </pic:pic>
              </a:graphicData>
            </a:graphic>
            <wp14:sizeRelH relativeFrom="margin">
              <wp14:pctWidth>0</wp14:pctWidth>
            </wp14:sizeRelH>
            <wp14:sizeRelV relativeFrom="margin">
              <wp14:pctHeight>0</wp14:pctHeight>
            </wp14:sizeRelV>
          </wp:anchor>
        </w:drawing>
      </w:r>
    </w:p>
    <w:p w14:paraId="0BC3F3E9" w14:textId="77777777" w:rsidR="004A47EF" w:rsidRPr="00B54A46" w:rsidRDefault="004A47EF" w:rsidP="004A47EF">
      <w:pPr>
        <w:pStyle w:val="Paragraphedeliste"/>
        <w:numPr>
          <w:ilvl w:val="0"/>
          <w:numId w:val="6"/>
        </w:numPr>
        <w:spacing w:line="259" w:lineRule="auto"/>
        <w:jc w:val="both"/>
        <w:rPr>
          <w:rFonts w:ascii="Calibri" w:hAnsi="Calibri" w:cs="Calibri"/>
          <w:i/>
          <w:sz w:val="22"/>
          <w:szCs w:val="22"/>
        </w:rPr>
      </w:pPr>
      <w:r w:rsidRPr="00B54A46">
        <w:rPr>
          <w:rFonts w:ascii="Calibri" w:hAnsi="Calibri" w:cs="Calibri"/>
          <w:sz w:val="22"/>
          <w:szCs w:val="22"/>
        </w:rPr>
        <w:t xml:space="preserve">La mise en œuvre de la politique TDI de PEMB </w:t>
      </w:r>
      <w:r w:rsidRPr="00B54A46" w:rsidDel="0037348D">
        <w:rPr>
          <w:rFonts w:ascii="Calibri" w:hAnsi="Calibri" w:cs="Calibri"/>
          <w:sz w:val="22"/>
          <w:szCs w:val="22"/>
        </w:rPr>
        <w:t xml:space="preserve"> </w:t>
      </w:r>
    </w:p>
    <w:p w14:paraId="7770EDBC" w14:textId="77777777" w:rsidR="004A47EF" w:rsidRPr="00B54A46" w:rsidRDefault="004A47EF" w:rsidP="004A47EF">
      <w:pPr>
        <w:pStyle w:val="Paragraphedeliste"/>
        <w:rPr>
          <w:rFonts w:ascii="Calibri" w:hAnsi="Calibri" w:cs="Calibri"/>
          <w:i/>
          <w:sz w:val="22"/>
          <w:szCs w:val="22"/>
        </w:rPr>
      </w:pPr>
    </w:p>
    <w:p w14:paraId="425D3910" w14:textId="77777777" w:rsidR="004A47EF" w:rsidRPr="00B54A46" w:rsidRDefault="004A47EF" w:rsidP="004A47EF">
      <w:pPr>
        <w:pStyle w:val="Paragraphedeliste"/>
        <w:spacing w:line="259" w:lineRule="auto"/>
        <w:jc w:val="both"/>
        <w:rPr>
          <w:rFonts w:ascii="Calibri" w:hAnsi="Calibri" w:cs="Calibri"/>
          <w:i/>
          <w:sz w:val="22"/>
          <w:szCs w:val="22"/>
        </w:rPr>
      </w:pPr>
    </w:p>
    <w:p w14:paraId="5710591E" w14:textId="2FC99748" w:rsidR="000255B8" w:rsidRPr="00E62690" w:rsidRDefault="000255B8" w:rsidP="00FC631F">
      <w:pPr>
        <w:jc w:val="both"/>
        <w:rPr>
          <w:rFonts w:ascii="Calibri" w:hAnsi="Calibri" w:cs="Calibri"/>
          <w:b/>
          <w:sz w:val="22"/>
          <w:szCs w:val="22"/>
        </w:rPr>
      </w:pPr>
      <w:r w:rsidRPr="000255B8">
        <w:rPr>
          <w:rFonts w:ascii="Calibri" w:hAnsi="Calibri" w:cs="Calibri"/>
          <w:b/>
          <w:sz w:val="22"/>
          <w:szCs w:val="22"/>
        </w:rPr>
        <w:t xml:space="preserve">La situation actuelle sur PEMB </w:t>
      </w:r>
    </w:p>
    <w:p w14:paraId="54A64F7C" w14:textId="77FA4405" w:rsidR="00FC631F" w:rsidRPr="00B54A46" w:rsidRDefault="00FC631F" w:rsidP="00FC631F">
      <w:pPr>
        <w:jc w:val="both"/>
        <w:rPr>
          <w:rFonts w:ascii="Calibri" w:hAnsi="Calibri" w:cs="Calibri"/>
          <w:sz w:val="22"/>
          <w:szCs w:val="22"/>
        </w:rPr>
      </w:pPr>
      <w:r w:rsidRPr="00B54A46">
        <w:rPr>
          <w:rFonts w:ascii="Calibri" w:hAnsi="Calibri" w:cs="Calibri"/>
          <w:sz w:val="22"/>
          <w:szCs w:val="22"/>
        </w:rPr>
        <w:t xml:space="preserve">Les contours géographiques des zones d’accélération et des zones d’exclusions peuvent être délimités au sein des schémas de cohérence territoriaux (SCOT), des plans communaux ainsi que des plans locaux d’urbanisme (PLU). </w:t>
      </w:r>
    </w:p>
    <w:p w14:paraId="23540D7D" w14:textId="77777777" w:rsidR="00E1090D" w:rsidRDefault="00FC631F" w:rsidP="00FC631F">
      <w:pPr>
        <w:jc w:val="both"/>
        <w:rPr>
          <w:rFonts w:ascii="Calibri" w:hAnsi="Calibri" w:cs="Calibri"/>
          <w:sz w:val="22"/>
          <w:szCs w:val="22"/>
        </w:rPr>
      </w:pPr>
      <w:r w:rsidRPr="00B54A46">
        <w:rPr>
          <w:rFonts w:ascii="Calibri" w:hAnsi="Calibri" w:cs="Calibri"/>
          <w:sz w:val="22"/>
          <w:szCs w:val="22"/>
        </w:rPr>
        <w:t xml:space="preserve">En parallèle, le Schéma Régional Climat Air Energie d’Ile-de-France prévoit, d’ici 2050, de couvrir 45% de ses besoins énergétiques via les énergies renouvelables locales. Sur le Territoire de Paris Est </w:t>
      </w:r>
      <w:proofErr w:type="spellStart"/>
      <w:r w:rsidRPr="00B54A46">
        <w:rPr>
          <w:rFonts w:ascii="Calibri" w:hAnsi="Calibri" w:cs="Calibri"/>
          <w:sz w:val="22"/>
          <w:szCs w:val="22"/>
        </w:rPr>
        <w:lastRenderedPageBreak/>
        <w:t>Marne&amp;Bois</w:t>
      </w:r>
      <w:proofErr w:type="spellEnd"/>
      <w:r w:rsidRPr="00B54A46">
        <w:rPr>
          <w:rFonts w:ascii="Calibri" w:hAnsi="Calibri" w:cs="Calibri"/>
          <w:sz w:val="22"/>
          <w:szCs w:val="22"/>
        </w:rPr>
        <w:t xml:space="preserve"> (PEMB), la production d‘énergies renouvelables et celle issue de procédés de récupération représentent 5% de la consommation énergétique. </w:t>
      </w:r>
    </w:p>
    <w:p w14:paraId="22574FB0" w14:textId="1224F5CE" w:rsidR="000255B8" w:rsidRDefault="00FC631F" w:rsidP="00394717">
      <w:pPr>
        <w:jc w:val="both"/>
        <w:rPr>
          <w:rFonts w:ascii="Calibri" w:hAnsi="Calibri" w:cs="Calibri"/>
          <w:sz w:val="22"/>
          <w:szCs w:val="22"/>
        </w:rPr>
      </w:pPr>
      <w:r w:rsidRPr="00B54A46">
        <w:rPr>
          <w:rFonts w:ascii="Calibri" w:hAnsi="Calibri" w:cs="Calibri"/>
          <w:sz w:val="22"/>
          <w:szCs w:val="22"/>
        </w:rPr>
        <w:t xml:space="preserve">Par ailleurs, l’EPT dispose de ressources naturelles exploitables lui procurant un potentiel énergétique renouvelable intéressant. </w:t>
      </w:r>
      <w:r w:rsidR="000255B8">
        <w:rPr>
          <w:rFonts w:ascii="Calibri" w:hAnsi="Calibri" w:cs="Calibri"/>
          <w:sz w:val="22"/>
          <w:szCs w:val="22"/>
        </w:rPr>
        <w:t xml:space="preserve">Il dispose d’un </w:t>
      </w:r>
      <w:r w:rsidR="000255B8" w:rsidRPr="000255B8">
        <w:rPr>
          <w:rFonts w:ascii="Calibri" w:hAnsi="Calibri" w:cs="Calibri"/>
          <w:sz w:val="22"/>
          <w:szCs w:val="22"/>
          <w:u w:val="single"/>
        </w:rPr>
        <w:t>atlas photovoltaïque</w:t>
      </w:r>
      <w:r w:rsidR="000255B8">
        <w:rPr>
          <w:rFonts w:ascii="Calibri" w:hAnsi="Calibri" w:cs="Calibri"/>
          <w:sz w:val="22"/>
          <w:szCs w:val="22"/>
        </w:rPr>
        <w:t xml:space="preserve"> </w:t>
      </w:r>
      <w:r w:rsidR="00E1090D">
        <w:rPr>
          <w:rFonts w:ascii="Calibri" w:hAnsi="Calibri" w:cs="Calibri"/>
          <w:sz w:val="22"/>
          <w:szCs w:val="22"/>
        </w:rPr>
        <w:t xml:space="preserve">(installations existantes) </w:t>
      </w:r>
      <w:r w:rsidR="000255B8">
        <w:rPr>
          <w:rFonts w:ascii="Calibri" w:hAnsi="Calibri" w:cs="Calibri"/>
          <w:sz w:val="22"/>
          <w:szCs w:val="22"/>
        </w:rPr>
        <w:t>qui a été développé par REUNIWATT (Incubée à l’</w:t>
      </w:r>
      <w:proofErr w:type="spellStart"/>
      <w:r w:rsidR="000255B8">
        <w:rPr>
          <w:rFonts w:ascii="Calibri" w:hAnsi="Calibri" w:cs="Calibri"/>
          <w:sz w:val="22"/>
          <w:szCs w:val="22"/>
        </w:rPr>
        <w:t>IGNfab</w:t>
      </w:r>
      <w:proofErr w:type="spellEnd"/>
      <w:r w:rsidR="000255B8">
        <w:rPr>
          <w:rFonts w:ascii="Calibri" w:hAnsi="Calibri" w:cs="Calibri"/>
          <w:sz w:val="22"/>
          <w:szCs w:val="22"/>
        </w:rPr>
        <w:t xml:space="preserve">. Dans le cadre de l’AAP Energie et climat en 2019) </w:t>
      </w:r>
    </w:p>
    <w:p w14:paraId="2EF692B7" w14:textId="244C76FB" w:rsidR="0054580E" w:rsidRPr="0054580E" w:rsidRDefault="0054580E" w:rsidP="00394717">
      <w:pPr>
        <w:jc w:val="both"/>
        <w:rPr>
          <w:rFonts w:ascii="Calibri" w:hAnsi="Calibri" w:cs="Calibri"/>
          <w:b/>
          <w:sz w:val="22"/>
          <w:szCs w:val="22"/>
        </w:rPr>
      </w:pPr>
      <w:r w:rsidRPr="0054580E">
        <w:rPr>
          <w:rFonts w:ascii="Calibri" w:hAnsi="Calibri" w:cs="Calibri"/>
          <w:b/>
          <w:sz w:val="22"/>
          <w:szCs w:val="22"/>
        </w:rPr>
        <w:t>Description du Projet d’expérimentation</w:t>
      </w:r>
      <w:r w:rsidR="00E62690">
        <w:rPr>
          <w:rFonts w:ascii="Calibri" w:hAnsi="Calibri" w:cs="Calibri"/>
          <w:b/>
          <w:sz w:val="22"/>
          <w:szCs w:val="22"/>
        </w:rPr>
        <w:t> :</w:t>
      </w:r>
    </w:p>
    <w:p w14:paraId="6C1C275E" w14:textId="7A81A9A3" w:rsidR="008206DE" w:rsidRPr="00C33899" w:rsidRDefault="00B54A46" w:rsidP="000B206A">
      <w:pPr>
        <w:rPr>
          <w:rStyle w:val="Accentuationintense"/>
          <w:i w:val="0"/>
          <w:color w:val="auto"/>
        </w:rPr>
      </w:pPr>
      <w:r w:rsidRPr="00C33899">
        <w:rPr>
          <w:rStyle w:val="Accentuationintense"/>
          <w:i w:val="0"/>
          <w:color w:val="auto"/>
        </w:rPr>
        <w:t>Le projet proposé a pour objectif de mettre à disposition des 13 communes du territoire un cadastre solaire</w:t>
      </w:r>
      <w:r w:rsidR="000B206A">
        <w:rPr>
          <w:rStyle w:val="Accentuationintense"/>
          <w:i w:val="0"/>
          <w:color w:val="auto"/>
        </w:rPr>
        <w:t xml:space="preserve"> nouvelle </w:t>
      </w:r>
      <w:r w:rsidR="000D1DC1">
        <w:rPr>
          <w:rStyle w:val="Accentuationintense"/>
          <w:i w:val="0"/>
          <w:color w:val="auto"/>
        </w:rPr>
        <w:t>génération</w:t>
      </w:r>
      <w:r w:rsidRPr="00C33899">
        <w:rPr>
          <w:rStyle w:val="Accentuationintense"/>
          <w:i w:val="0"/>
          <w:color w:val="auto"/>
        </w:rPr>
        <w:t>, afin de favoriser le développement des énergies renouvelables, notamment le solaire photovoltaïque et thermique</w:t>
      </w:r>
      <w:r w:rsidR="007607D6" w:rsidRPr="00C33899">
        <w:rPr>
          <w:rStyle w:val="Accentuationintense"/>
          <w:i w:val="0"/>
          <w:color w:val="auto"/>
        </w:rPr>
        <w:t xml:space="preserve">. </w:t>
      </w:r>
      <w:r w:rsidR="000B206A">
        <w:rPr>
          <w:rStyle w:val="Accentuationintense"/>
          <w:i w:val="0"/>
          <w:color w:val="auto"/>
        </w:rPr>
        <w:t xml:space="preserve">Avec le </w:t>
      </w:r>
      <w:r w:rsidR="000D1DC1">
        <w:rPr>
          <w:rStyle w:val="Accentuationintense"/>
          <w:i w:val="0"/>
          <w:color w:val="auto"/>
        </w:rPr>
        <w:t>développement</w:t>
      </w:r>
      <w:r w:rsidR="000B206A">
        <w:rPr>
          <w:rStyle w:val="Accentuationintense"/>
          <w:i w:val="0"/>
          <w:color w:val="auto"/>
        </w:rPr>
        <w:t xml:space="preserve"> d’une plateforme web destinée à la population : citoyens et entreprises. </w:t>
      </w:r>
      <w:r w:rsidR="007607D6" w:rsidRPr="00C33899">
        <w:rPr>
          <w:rStyle w:val="Accentuationintense"/>
          <w:i w:val="0"/>
          <w:color w:val="auto"/>
        </w:rPr>
        <w:t xml:space="preserve">Le groupement CYTHELIA ENERGY et Trace Software International (TSI), experts du solaire depuis plus de 30 ans et leaders des cadastres solaires en France, propose sa solution </w:t>
      </w:r>
      <w:proofErr w:type="spellStart"/>
      <w:r w:rsidR="007607D6" w:rsidRPr="00C33899">
        <w:rPr>
          <w:rStyle w:val="Accentuationintense"/>
          <w:i w:val="0"/>
          <w:color w:val="auto"/>
        </w:rPr>
        <w:t>Archelios</w:t>
      </w:r>
      <w:proofErr w:type="spellEnd"/>
      <w:r w:rsidR="007607D6" w:rsidRPr="00C33899">
        <w:rPr>
          <w:rStyle w:val="Accentuationintense"/>
          <w:i w:val="0"/>
          <w:color w:val="auto"/>
        </w:rPr>
        <w:t xml:space="preserve"> MAP. Ce logiciel, déjà adopté par plus de 85 collectivités, couvre plus de 25 % de la population française, permettant ainsi à un Français sur quatre d’accéder à un cadastre solaire.</w:t>
      </w:r>
      <w:r w:rsidR="008206DE" w:rsidRPr="00C33899">
        <w:rPr>
          <w:rStyle w:val="Accentuationintense"/>
          <w:i w:val="0"/>
          <w:color w:val="auto"/>
        </w:rPr>
        <w:br/>
        <w:t xml:space="preserve">Cythelia a su intégrer l’accélérateur de projets IGN </w:t>
      </w:r>
      <w:proofErr w:type="spellStart"/>
      <w:r w:rsidR="008206DE" w:rsidRPr="00C33899">
        <w:rPr>
          <w:rStyle w:val="Accentuationintense"/>
          <w:i w:val="0"/>
          <w:color w:val="auto"/>
        </w:rPr>
        <w:t>Fab</w:t>
      </w:r>
      <w:proofErr w:type="spellEnd"/>
      <w:r w:rsidR="000D1DC1">
        <w:rPr>
          <w:rStyle w:val="Accentuationintense"/>
          <w:i w:val="0"/>
          <w:color w:val="auto"/>
        </w:rPr>
        <w:t xml:space="preserve"> </w:t>
      </w:r>
      <w:r w:rsidR="008206DE" w:rsidRPr="00C33899">
        <w:rPr>
          <w:rStyle w:val="Accentuationintense"/>
          <w:i w:val="0"/>
          <w:color w:val="auto"/>
        </w:rPr>
        <w:t>pour développer une nouvelle génération de cadastres solaires</w:t>
      </w:r>
      <w:r w:rsidR="000B206A">
        <w:rPr>
          <w:rStyle w:val="Accentuationintense"/>
          <w:i w:val="0"/>
          <w:color w:val="auto"/>
        </w:rPr>
        <w:t xml:space="preserve"> grâce aux données lidar HD</w:t>
      </w:r>
      <w:r w:rsidR="008206DE" w:rsidRPr="00C33899">
        <w:rPr>
          <w:rStyle w:val="Accentuationintense"/>
          <w:i w:val="0"/>
          <w:color w:val="auto"/>
        </w:rPr>
        <w:t>. Mais également fournir des données sur le potentiel solaire de tous les bâtiments en France à la DGEC, contribuant à l’élaboration de la future Programmation Pluriannuelle de l’Énergie (PPE).</w:t>
      </w:r>
    </w:p>
    <w:p w14:paraId="0F1F3EF5" w14:textId="14BB9035" w:rsidR="008206DE" w:rsidRPr="00C33899" w:rsidRDefault="008206DE" w:rsidP="00394717">
      <w:pPr>
        <w:jc w:val="both"/>
        <w:rPr>
          <w:rStyle w:val="Accentuationintense"/>
          <w:i w:val="0"/>
          <w:color w:val="auto"/>
        </w:rPr>
      </w:pPr>
      <w:r w:rsidRPr="00C33899">
        <w:rPr>
          <w:rStyle w:val="Accentuationintense"/>
          <w:i w:val="0"/>
          <w:color w:val="auto"/>
        </w:rPr>
        <w:t>Le projet repose sur deux champs d’expertise :</w:t>
      </w:r>
    </w:p>
    <w:p w14:paraId="3CBEEF95" w14:textId="77777777" w:rsidR="008206DE" w:rsidRPr="00C33899" w:rsidRDefault="008206DE" w:rsidP="00394717">
      <w:pPr>
        <w:numPr>
          <w:ilvl w:val="0"/>
          <w:numId w:val="1"/>
        </w:numPr>
        <w:jc w:val="both"/>
        <w:rPr>
          <w:rStyle w:val="Accentuationintense"/>
          <w:i w:val="0"/>
          <w:color w:val="auto"/>
        </w:rPr>
      </w:pPr>
      <w:r w:rsidRPr="00C33899">
        <w:rPr>
          <w:rStyle w:val="Accentuationintense"/>
          <w:i w:val="0"/>
          <w:color w:val="auto"/>
        </w:rPr>
        <w:t>Cythelia Energy : expertise en gestion de projets photovoltaïques, cadastres solaires, missions d'AMO et MOE photovoltaïque.</w:t>
      </w:r>
    </w:p>
    <w:p w14:paraId="7EF82EB6" w14:textId="5B55CF58" w:rsidR="0054580E" w:rsidRPr="00C33899" w:rsidRDefault="004370DB" w:rsidP="0054580E">
      <w:pPr>
        <w:numPr>
          <w:ilvl w:val="0"/>
          <w:numId w:val="1"/>
        </w:numPr>
        <w:jc w:val="both"/>
        <w:rPr>
          <w:rStyle w:val="Accentuationintense"/>
          <w:i w:val="0"/>
          <w:color w:val="auto"/>
        </w:rPr>
      </w:pPr>
      <w:r w:rsidRPr="00C33899">
        <w:rPr>
          <w:rStyle w:val="Accentuationintense"/>
          <w:i w:val="0"/>
          <w:noProof/>
          <w:color w:val="auto"/>
        </w:rPr>
        <w:drawing>
          <wp:anchor distT="0" distB="0" distL="114300" distR="114300" simplePos="0" relativeHeight="251670528" behindDoc="1" locked="0" layoutInCell="1" allowOverlap="1" wp14:anchorId="73E2C346" wp14:editId="0C91EAED">
            <wp:simplePos x="0" y="0"/>
            <wp:positionH relativeFrom="margin">
              <wp:align>right</wp:align>
            </wp:positionH>
            <wp:positionV relativeFrom="paragraph">
              <wp:posOffset>419735</wp:posOffset>
            </wp:positionV>
            <wp:extent cx="1181735" cy="419100"/>
            <wp:effectExtent l="0" t="0" r="0" b="0"/>
            <wp:wrapTight wrapText="bothSides">
              <wp:wrapPolygon edited="0">
                <wp:start x="2089" y="1964"/>
                <wp:lineTo x="348" y="11782"/>
                <wp:lineTo x="696" y="19636"/>
                <wp:lineTo x="5919" y="19636"/>
                <wp:lineTo x="20892" y="14727"/>
                <wp:lineTo x="20892" y="5891"/>
                <wp:lineTo x="4875" y="1964"/>
                <wp:lineTo x="2089" y="1964"/>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1735" cy="419100"/>
                    </a:xfrm>
                    <a:prstGeom prst="rect">
                      <a:avLst/>
                    </a:prstGeom>
                  </pic:spPr>
                </pic:pic>
              </a:graphicData>
            </a:graphic>
            <wp14:sizeRelH relativeFrom="margin">
              <wp14:pctWidth>0</wp14:pctWidth>
            </wp14:sizeRelH>
            <wp14:sizeRelV relativeFrom="margin">
              <wp14:pctHeight>0</wp14:pctHeight>
            </wp14:sizeRelV>
          </wp:anchor>
        </w:drawing>
      </w:r>
      <w:r w:rsidR="008206DE" w:rsidRPr="00C33899">
        <w:rPr>
          <w:rStyle w:val="Accentuationintense"/>
          <w:i w:val="0"/>
          <w:color w:val="auto"/>
        </w:rPr>
        <w:t>Trace Software International (TSI) : spécialisée en applications web et SIG, avec un focus sur le calcul du potentiel solaire des toitures et parkings.</w:t>
      </w:r>
    </w:p>
    <w:p w14:paraId="0E41E07C" w14:textId="76FF24CF" w:rsidR="0054580E" w:rsidRPr="00C33899" w:rsidRDefault="004370DB" w:rsidP="0054580E">
      <w:pPr>
        <w:jc w:val="both"/>
        <w:rPr>
          <w:rStyle w:val="Accentuationintense"/>
          <w:i w:val="0"/>
          <w:color w:val="auto"/>
        </w:rPr>
      </w:pPr>
      <w:r w:rsidRPr="00C33899">
        <w:rPr>
          <w:rStyle w:val="Accentuationintense"/>
          <w:i w:val="0"/>
          <w:color w:val="auto"/>
        </w:rPr>
        <w:t xml:space="preserve">L’expérimentation respectera le principe </w:t>
      </w:r>
      <w:r w:rsidR="004A7716" w:rsidRPr="00C33899">
        <w:rPr>
          <w:rStyle w:val="Accentuationintense"/>
          <w:i w:val="0"/>
          <w:color w:val="auto"/>
        </w:rPr>
        <w:t xml:space="preserve">retenu </w:t>
      </w:r>
      <w:r w:rsidRPr="00C33899">
        <w:rPr>
          <w:rStyle w:val="Accentuationintense"/>
          <w:i w:val="0"/>
          <w:color w:val="auto"/>
        </w:rPr>
        <w:t xml:space="preserve">de la politique TDI d’associer des villes volontaires de PEMB parties prenantes de l’expérimentation dès l’amont du projet afin de les faire </w:t>
      </w:r>
      <w:r w:rsidR="00296BD2" w:rsidRPr="00C33899">
        <w:rPr>
          <w:rStyle w:val="Accentuationintense"/>
          <w:i w:val="0"/>
          <w:color w:val="auto"/>
        </w:rPr>
        <w:t>adhérer,</w:t>
      </w:r>
      <w:r w:rsidRPr="00C33899">
        <w:rPr>
          <w:rStyle w:val="Accentuationintense"/>
          <w:i w:val="0"/>
          <w:color w:val="auto"/>
        </w:rPr>
        <w:t xml:space="preserve"> de </w:t>
      </w:r>
      <w:r w:rsidR="00296BD2" w:rsidRPr="00C33899">
        <w:rPr>
          <w:rStyle w:val="Accentuationintense"/>
          <w:i w:val="0"/>
          <w:color w:val="auto"/>
        </w:rPr>
        <w:t>vérifier</w:t>
      </w:r>
      <w:r w:rsidRPr="00C33899">
        <w:rPr>
          <w:rStyle w:val="Accentuationintense"/>
          <w:i w:val="0"/>
          <w:color w:val="auto"/>
        </w:rPr>
        <w:t xml:space="preserve"> leurs besoins et leur cas d’usages</w:t>
      </w:r>
      <w:r w:rsidR="00296BD2" w:rsidRPr="00C33899">
        <w:rPr>
          <w:rStyle w:val="Accentuationintense"/>
          <w:i w:val="0"/>
          <w:color w:val="auto"/>
        </w:rPr>
        <w:t xml:space="preserve"> à la livraison du cadastre solaire ainsi que l’usage que la population pourra en faire. Cette approche permettra de mettre en place un plan de communication au long court du projet et en fin de projet notamment </w:t>
      </w:r>
      <w:r w:rsidR="000B206A">
        <w:rPr>
          <w:rStyle w:val="Accentuationintense"/>
          <w:i w:val="0"/>
          <w:color w:val="auto"/>
        </w:rPr>
        <w:t>à</w:t>
      </w:r>
      <w:r w:rsidR="00296BD2" w:rsidRPr="00C33899">
        <w:rPr>
          <w:rStyle w:val="Accentuationintense"/>
          <w:i w:val="0"/>
          <w:color w:val="auto"/>
        </w:rPr>
        <w:t xml:space="preserve"> l’attention de la population. Il permettra d’aborder </w:t>
      </w:r>
      <w:r w:rsidR="00E62690" w:rsidRPr="00C33899">
        <w:rPr>
          <w:rStyle w:val="Accentuationintense"/>
          <w:i w:val="0"/>
          <w:color w:val="auto"/>
        </w:rPr>
        <w:t>la question</w:t>
      </w:r>
      <w:r w:rsidR="00296BD2" w:rsidRPr="00C33899">
        <w:rPr>
          <w:rStyle w:val="Accentuationintense"/>
          <w:i w:val="0"/>
          <w:color w:val="auto"/>
        </w:rPr>
        <w:t xml:space="preserve"> de l’usage des données et des principes éthiques liés au développement de l’usage des données dans </w:t>
      </w:r>
      <w:r w:rsidR="000B206A" w:rsidRPr="00C33899">
        <w:rPr>
          <w:rStyle w:val="Accentuationintense"/>
          <w:i w:val="0"/>
          <w:color w:val="auto"/>
        </w:rPr>
        <w:t>les nouvelles solutions proposées</w:t>
      </w:r>
      <w:r w:rsidR="00296BD2" w:rsidRPr="00C33899">
        <w:rPr>
          <w:rStyle w:val="Accentuationintense"/>
          <w:i w:val="0"/>
          <w:color w:val="auto"/>
        </w:rPr>
        <w:t> : qualité des données, impact sur les métiers, consommation d’énergie et transition écologique, autonomie des individus,</w:t>
      </w:r>
      <w:r w:rsidR="00E62690" w:rsidRPr="00C33899">
        <w:rPr>
          <w:rStyle w:val="Accentuationintense"/>
          <w:i w:val="0"/>
          <w:color w:val="auto"/>
        </w:rPr>
        <w:t xml:space="preserve"> </w:t>
      </w:r>
      <w:r w:rsidR="00296BD2" w:rsidRPr="00C33899">
        <w:rPr>
          <w:rStyle w:val="Accentuationintense"/>
          <w:i w:val="0"/>
          <w:color w:val="auto"/>
        </w:rPr>
        <w:t>…</w:t>
      </w:r>
    </w:p>
    <w:p w14:paraId="409E2FB2" w14:textId="77777777" w:rsidR="000344B5" w:rsidRPr="00C33899" w:rsidRDefault="005101C5" w:rsidP="000344B5">
      <w:pPr>
        <w:jc w:val="both"/>
        <w:rPr>
          <w:rStyle w:val="Accentuationintense"/>
          <w:i w:val="0"/>
          <w:color w:val="auto"/>
        </w:rPr>
      </w:pPr>
      <w:r w:rsidRPr="00C33899">
        <w:rPr>
          <w:rStyle w:val="Accentuationintense"/>
          <w:i w:val="0"/>
          <w:color w:val="auto"/>
        </w:rPr>
        <w:t xml:space="preserve">Le caractère innovant de cette expérimentation : </w:t>
      </w:r>
    </w:p>
    <w:p w14:paraId="394190DB" w14:textId="0F9890BD" w:rsidR="00617610" w:rsidRPr="00C33899" w:rsidRDefault="00617610" w:rsidP="000344B5">
      <w:pPr>
        <w:jc w:val="both"/>
        <w:rPr>
          <w:rStyle w:val="Accentuationintense"/>
          <w:i w:val="0"/>
          <w:color w:val="auto"/>
        </w:rPr>
      </w:pPr>
      <w:r w:rsidRPr="00C33899">
        <w:rPr>
          <w:rStyle w:val="Accentuationintense"/>
          <w:i w:val="0"/>
          <w:color w:val="auto"/>
        </w:rPr>
        <w:t>Les besoins couverts par un cadastre solaire sont multiples, notamment l'identification des meilleures toitures et parkings d'un territoire, ainsi que l'évaluation du potentiel technico-économique d'une toiture ou d'un parking. Bien que la solution actuellement commercialisée réponde à ces besoins, elle présente des défauts pouvant affecter la qualité des résultats :</w:t>
      </w:r>
    </w:p>
    <w:p w14:paraId="235EEF09" w14:textId="77777777" w:rsidR="00617610" w:rsidRPr="00C33899" w:rsidRDefault="00617610" w:rsidP="005D3BFA">
      <w:pPr>
        <w:numPr>
          <w:ilvl w:val="0"/>
          <w:numId w:val="4"/>
        </w:numPr>
        <w:spacing w:before="100" w:beforeAutospacing="1" w:after="100" w:afterAutospacing="1" w:line="240" w:lineRule="auto"/>
        <w:jc w:val="both"/>
        <w:rPr>
          <w:rStyle w:val="Accentuationintense"/>
          <w:i w:val="0"/>
          <w:color w:val="auto"/>
        </w:rPr>
      </w:pPr>
      <w:r w:rsidRPr="00C33899">
        <w:rPr>
          <w:rStyle w:val="Accentuationintense"/>
          <w:i w:val="0"/>
          <w:color w:val="auto"/>
        </w:rPr>
        <w:lastRenderedPageBreak/>
        <w:t>Défaut 1 : Décalage entre la couche 3D, la BD Topo (qui découpe les bâtiments) et l'orthophotographie.</w:t>
      </w:r>
    </w:p>
    <w:p w14:paraId="0C04FF12" w14:textId="77777777" w:rsidR="00617610" w:rsidRPr="00C33899" w:rsidRDefault="00617610" w:rsidP="005D3BFA">
      <w:pPr>
        <w:numPr>
          <w:ilvl w:val="0"/>
          <w:numId w:val="4"/>
        </w:numPr>
        <w:spacing w:before="100" w:beforeAutospacing="1" w:after="100" w:afterAutospacing="1" w:line="240" w:lineRule="auto"/>
        <w:jc w:val="both"/>
        <w:rPr>
          <w:rStyle w:val="Accentuationintense"/>
          <w:i w:val="0"/>
          <w:color w:val="auto"/>
        </w:rPr>
      </w:pPr>
      <w:r w:rsidRPr="00C33899">
        <w:rPr>
          <w:rStyle w:val="Accentuationintense"/>
          <w:i w:val="0"/>
          <w:color w:val="auto"/>
        </w:rPr>
        <w:t>Défaut 2 : Surévaluation des surfaces exploitables, incluant des zones bien ensoleillées mais peu adaptées à l'installation de panneaux photovoltaïques (espaces entre obstacles).</w:t>
      </w:r>
    </w:p>
    <w:p w14:paraId="36B9FE00" w14:textId="6BFB20C7" w:rsidR="00617610" w:rsidRPr="00C33899" w:rsidRDefault="000B206A" w:rsidP="005D3BFA">
      <w:pPr>
        <w:spacing w:before="100" w:beforeAutospacing="1" w:after="100" w:afterAutospacing="1" w:line="240" w:lineRule="auto"/>
        <w:jc w:val="both"/>
        <w:rPr>
          <w:rStyle w:val="Accentuationintense"/>
          <w:i w:val="0"/>
          <w:color w:val="auto"/>
        </w:rPr>
      </w:pPr>
      <w:r w:rsidRPr="00C33899">
        <w:rPr>
          <w:rStyle w:val="Accentuationintense"/>
          <w:i w:val="0"/>
          <w:color w:val="auto"/>
        </w:rPr>
        <w:t>L</w:t>
      </w:r>
      <w:proofErr w:type="gramStart"/>
      <w:r w:rsidRPr="00C33899">
        <w:rPr>
          <w:rStyle w:val="Accentuationintense"/>
          <w:i w:val="0"/>
          <w:color w:val="auto"/>
        </w:rPr>
        <w:t>’«</w:t>
      </w:r>
      <w:proofErr w:type="gramEnd"/>
      <w:r w:rsidR="005E089F" w:rsidRPr="00C33899">
        <w:rPr>
          <w:rStyle w:val="Accentuationintense"/>
          <w:i w:val="0"/>
          <w:color w:val="auto"/>
        </w:rPr>
        <w:t> </w:t>
      </w:r>
      <w:r w:rsidR="00617610" w:rsidRPr="00C33899">
        <w:rPr>
          <w:rStyle w:val="Accentuationintense"/>
          <w:i w:val="0"/>
          <w:color w:val="auto"/>
        </w:rPr>
        <w:t>innovation 0" développée en 2023 permet de surmonter ces défauts, en offrant une résolution inégalée de 25 cm grâce aux données LiDAR HD. Cette innovation permet de créer un cadastre solaire ultra-précis et visuellement impressionnant, tout en optimisant le temps de calcul et le stockage des données.</w:t>
      </w:r>
    </w:p>
    <w:p w14:paraId="18522323" w14:textId="529858DD" w:rsidR="00617610" w:rsidRPr="00C33899" w:rsidRDefault="00617610" w:rsidP="005D3BFA">
      <w:pPr>
        <w:spacing w:before="100" w:beforeAutospacing="1" w:after="100" w:afterAutospacing="1" w:line="240" w:lineRule="auto"/>
        <w:jc w:val="both"/>
        <w:rPr>
          <w:rStyle w:val="Accentuationintense"/>
          <w:i w:val="0"/>
          <w:color w:val="auto"/>
        </w:rPr>
      </w:pPr>
      <w:r w:rsidRPr="00C33899">
        <w:rPr>
          <w:rStyle w:val="Accentuationintense"/>
          <w:i w:val="0"/>
          <w:color w:val="auto"/>
        </w:rPr>
        <w:t>Les innovations suivantes (1 à 3) sont proposées pour améliorer davantage la précision du cadastre solaire :</w:t>
      </w:r>
    </w:p>
    <w:p w14:paraId="221AC717" w14:textId="77777777" w:rsidR="00617610" w:rsidRPr="00C33899" w:rsidRDefault="00617610" w:rsidP="005D3BFA">
      <w:pPr>
        <w:numPr>
          <w:ilvl w:val="0"/>
          <w:numId w:val="5"/>
        </w:numPr>
        <w:spacing w:before="100" w:beforeAutospacing="1" w:after="100" w:afterAutospacing="1" w:line="240" w:lineRule="auto"/>
        <w:jc w:val="both"/>
        <w:rPr>
          <w:rStyle w:val="Accentuationintense"/>
          <w:i w:val="0"/>
          <w:color w:val="auto"/>
        </w:rPr>
      </w:pPr>
      <w:r w:rsidRPr="00C33899">
        <w:rPr>
          <w:rStyle w:val="Accentuationintense"/>
          <w:i w:val="0"/>
          <w:color w:val="auto"/>
        </w:rPr>
        <w:t>Innovation 1 : Détection des pans de toitures et recalage des couches grâce à des algorithmes 3D innovants. Cette innovation permet la reconstruction 3D et le calepinage automatique, répondant ainsi au défaut 1 (décalage entre les données).</w:t>
      </w:r>
    </w:p>
    <w:p w14:paraId="78547ADE" w14:textId="77777777" w:rsidR="00617610" w:rsidRPr="00C33899" w:rsidRDefault="00617610" w:rsidP="005D3BFA">
      <w:pPr>
        <w:numPr>
          <w:ilvl w:val="0"/>
          <w:numId w:val="5"/>
        </w:numPr>
        <w:spacing w:before="100" w:beforeAutospacing="1" w:after="100" w:afterAutospacing="1" w:line="240" w:lineRule="auto"/>
        <w:jc w:val="both"/>
        <w:rPr>
          <w:rStyle w:val="Accentuationintense"/>
          <w:i w:val="0"/>
          <w:color w:val="auto"/>
        </w:rPr>
      </w:pPr>
      <w:r w:rsidRPr="00C33899">
        <w:rPr>
          <w:rStyle w:val="Accentuationintense"/>
          <w:i w:val="0"/>
          <w:color w:val="auto"/>
        </w:rPr>
        <w:t>Innovation 2 : Détection d’obstacles avec des algorithmes 3D pour découper des formes complexes. Cela permet une estimation réaliste et précise de la puissance installable, et corrige le défaut 2 lié à la surévaluation des surfaces exploitables.</w:t>
      </w:r>
    </w:p>
    <w:p w14:paraId="5BFA9BB8" w14:textId="77777777" w:rsidR="00617610" w:rsidRPr="00C33899" w:rsidRDefault="00617610" w:rsidP="005D3BFA">
      <w:pPr>
        <w:numPr>
          <w:ilvl w:val="0"/>
          <w:numId w:val="5"/>
        </w:numPr>
        <w:spacing w:before="100" w:beforeAutospacing="1" w:after="100" w:afterAutospacing="1" w:line="240" w:lineRule="auto"/>
        <w:jc w:val="both"/>
        <w:rPr>
          <w:rStyle w:val="Accentuationintense"/>
          <w:i w:val="0"/>
          <w:color w:val="auto"/>
        </w:rPr>
      </w:pPr>
      <w:r w:rsidRPr="00C33899">
        <w:rPr>
          <w:rStyle w:val="Accentuationintense"/>
          <w:i w:val="0"/>
          <w:color w:val="auto"/>
        </w:rPr>
        <w:t>Innovation 3 : Calepinage ultra-réaliste en un clic, via des algorithmes permettant de proposer des calepinages sous multi-contraintes. Cette innovation permet un gain de temps significatif pour les études de productible, également en réponse au défaut 2.</w:t>
      </w:r>
    </w:p>
    <w:p w14:paraId="3834D276" w14:textId="4ACD86D6" w:rsidR="00617610" w:rsidRPr="00C33899" w:rsidRDefault="00617610" w:rsidP="005D3BFA">
      <w:pPr>
        <w:spacing w:before="100" w:beforeAutospacing="1" w:after="100" w:afterAutospacing="1" w:line="240" w:lineRule="auto"/>
        <w:jc w:val="both"/>
        <w:rPr>
          <w:rStyle w:val="Accentuationintense"/>
          <w:i w:val="0"/>
          <w:color w:val="auto"/>
        </w:rPr>
      </w:pPr>
      <w:r w:rsidRPr="00C33899">
        <w:rPr>
          <w:rStyle w:val="Accentuationintense"/>
          <w:i w:val="0"/>
          <w:color w:val="auto"/>
        </w:rPr>
        <w:t>Grâce à ces innovations, la solution de cadastre solaire sera plus performante, offrant un service de meilleure qualité aux utilisateurs souhaitant développer des projets photovoltaïques. Cela permet aussi un meilleur</w:t>
      </w:r>
      <w:r w:rsidR="004841E6" w:rsidRPr="00C33899">
        <w:rPr>
          <w:rStyle w:val="Accentuationintense"/>
          <w:i w:val="0"/>
          <w:color w:val="auto"/>
        </w:rPr>
        <w:t xml:space="preserve"> </w:t>
      </w:r>
      <w:r w:rsidR="007C4A63" w:rsidRPr="00C33899">
        <w:rPr>
          <w:rStyle w:val="Accentuationintense"/>
          <w:i w:val="0"/>
          <w:color w:val="auto"/>
        </w:rPr>
        <w:t>calibrage</w:t>
      </w:r>
      <w:r w:rsidRPr="00C33899">
        <w:rPr>
          <w:rStyle w:val="Accentuationintense"/>
          <w:i w:val="0"/>
          <w:color w:val="auto"/>
        </w:rPr>
        <w:t xml:space="preserve"> des politiques publiques, en offrant une connaissance plus précise du potentiel solaire des bâtiments et parkings, en particulier pour le patrimoine public.</w:t>
      </w:r>
    </w:p>
    <w:p w14:paraId="5D7AD2EE" w14:textId="6D941A25" w:rsidR="00617610" w:rsidRPr="00C33899" w:rsidRDefault="00617610" w:rsidP="005D3BFA">
      <w:pPr>
        <w:spacing w:before="100" w:beforeAutospacing="1" w:after="100" w:afterAutospacing="1" w:line="240" w:lineRule="auto"/>
        <w:jc w:val="both"/>
        <w:rPr>
          <w:rStyle w:val="Accentuationintense"/>
          <w:color w:val="auto"/>
        </w:rPr>
      </w:pPr>
      <w:r w:rsidRPr="00C33899">
        <w:rPr>
          <w:rStyle w:val="Accentuationintense"/>
          <w:color w:val="auto"/>
        </w:rPr>
        <w:t>La solution sans les innovations 1 à 3 est déjà commercialisée sur 85 territoires, dont 7 utilisant le LiDAR HD (innovation 0). Les innovations 1 à 3 sont encore en phase de conception, et PEMB sera un territoire-pilote pour les tester. Ces innovations, destinées à être intégrées à une solution déjà mature et bien implantée, répondront plus efficacement aux besoins du marché, en soutenant le déploiement du photovoltaïque sur les territoires.</w:t>
      </w:r>
    </w:p>
    <w:p w14:paraId="65BBE8A9" w14:textId="638D0938" w:rsidR="007C4A63" w:rsidRPr="00C33899" w:rsidRDefault="007C4A63" w:rsidP="007C4A63">
      <w:pPr>
        <w:rPr>
          <w:rFonts w:ascii="Calibri" w:hAnsi="Calibri" w:cs="Calibri"/>
          <w:sz w:val="22"/>
          <w:szCs w:val="22"/>
        </w:rPr>
      </w:pPr>
      <w:r w:rsidRPr="00C33899">
        <w:rPr>
          <w:rFonts w:ascii="Calibri" w:hAnsi="Calibri" w:cs="Calibri"/>
          <w:sz w:val="22"/>
          <w:szCs w:val="22"/>
        </w:rPr>
        <w:t>Le marché innovant est justifié par le déploiement d’une fonctionnalité innovant</w:t>
      </w:r>
      <w:r w:rsidR="000B206A">
        <w:rPr>
          <w:rFonts w:ascii="Calibri" w:hAnsi="Calibri" w:cs="Calibri"/>
          <w:sz w:val="22"/>
          <w:szCs w:val="22"/>
        </w:rPr>
        <w:t>e</w:t>
      </w:r>
      <w:r w:rsidRPr="00C33899">
        <w:rPr>
          <w:rFonts w:ascii="Calibri" w:hAnsi="Calibri" w:cs="Calibri"/>
          <w:sz w:val="22"/>
          <w:szCs w:val="22"/>
        </w:rPr>
        <w:t xml:space="preserve"> dans la plateforme jamais commercialisée auparavant et en phase de test</w:t>
      </w:r>
      <w:r w:rsidR="000B206A">
        <w:rPr>
          <w:rFonts w:ascii="Calibri" w:hAnsi="Calibri" w:cs="Calibri"/>
          <w:sz w:val="22"/>
          <w:szCs w:val="22"/>
        </w:rPr>
        <w:t>, c’est une innovation de rupture</w:t>
      </w:r>
      <w:r w:rsidRPr="00C33899">
        <w:rPr>
          <w:rFonts w:ascii="Calibri" w:hAnsi="Calibri" w:cs="Calibri"/>
          <w:sz w:val="22"/>
          <w:szCs w:val="22"/>
        </w:rPr>
        <w:t>.</w:t>
      </w:r>
    </w:p>
    <w:p w14:paraId="02E6D9FC" w14:textId="54F99745" w:rsidR="00F45C6E" w:rsidRPr="00C33899" w:rsidRDefault="00F45C6E" w:rsidP="00394717">
      <w:pPr>
        <w:jc w:val="both"/>
        <w:rPr>
          <w:rFonts w:ascii="Calibri" w:hAnsi="Calibri" w:cs="Calibri"/>
          <w:b/>
          <w:sz w:val="22"/>
          <w:szCs w:val="22"/>
        </w:rPr>
      </w:pPr>
      <w:r w:rsidRPr="00C33899">
        <w:rPr>
          <w:rFonts w:ascii="Calibri" w:hAnsi="Calibri" w:cs="Calibri"/>
          <w:b/>
          <w:sz w:val="22"/>
          <w:szCs w:val="22"/>
        </w:rPr>
        <w:t>Les partenaires identifiés</w:t>
      </w:r>
      <w:r w:rsidR="00FC631F" w:rsidRPr="00C33899">
        <w:rPr>
          <w:rFonts w:ascii="Calibri" w:hAnsi="Calibri" w:cs="Calibri"/>
          <w:b/>
          <w:sz w:val="22"/>
          <w:szCs w:val="22"/>
        </w:rPr>
        <w:t xml:space="preserve"> : </w:t>
      </w:r>
    </w:p>
    <w:p w14:paraId="062D0D7C" w14:textId="0318D92A" w:rsidR="000344B5" w:rsidRPr="00C33899" w:rsidRDefault="000344B5" w:rsidP="000344B5">
      <w:pPr>
        <w:rPr>
          <w:rFonts w:ascii="Calibri" w:hAnsi="Calibri" w:cs="Calibri"/>
          <w:sz w:val="22"/>
          <w:szCs w:val="22"/>
        </w:rPr>
      </w:pPr>
      <w:r w:rsidRPr="00C33899">
        <w:rPr>
          <w:rFonts w:ascii="Calibri" w:hAnsi="Calibri" w:cs="Calibri"/>
          <w:sz w:val="22"/>
          <w:szCs w:val="22"/>
        </w:rPr>
        <w:t xml:space="preserve">L’entreprise </w:t>
      </w:r>
      <w:r w:rsidR="00F70CB5" w:rsidRPr="00C33899">
        <w:rPr>
          <w:rFonts w:ascii="Calibri" w:hAnsi="Calibri" w:cs="Calibri"/>
          <w:sz w:val="22"/>
          <w:szCs w:val="22"/>
        </w:rPr>
        <w:t xml:space="preserve">est </w:t>
      </w:r>
      <w:r w:rsidRPr="00C33899">
        <w:rPr>
          <w:rFonts w:ascii="Calibri" w:hAnsi="Calibri" w:cs="Calibri"/>
          <w:sz w:val="22"/>
          <w:szCs w:val="22"/>
        </w:rPr>
        <w:t xml:space="preserve">lauréate de l’AAP de l’IGN </w:t>
      </w:r>
      <w:r w:rsidR="00F70CB5" w:rsidRPr="00C33899">
        <w:rPr>
          <w:rFonts w:ascii="Calibri" w:hAnsi="Calibri" w:cs="Calibri"/>
          <w:sz w:val="22"/>
          <w:szCs w:val="22"/>
        </w:rPr>
        <w:t>en 2023 s</w:t>
      </w:r>
      <w:r w:rsidRPr="00C33899">
        <w:rPr>
          <w:rFonts w:ascii="Calibri" w:hAnsi="Calibri" w:cs="Calibri"/>
          <w:sz w:val="22"/>
          <w:szCs w:val="22"/>
        </w:rPr>
        <w:t>ur les données Lidar</w:t>
      </w:r>
      <w:r w:rsidR="00F70CB5" w:rsidRPr="00C33899">
        <w:rPr>
          <w:rFonts w:ascii="Calibri" w:hAnsi="Calibri" w:cs="Calibri"/>
          <w:sz w:val="22"/>
          <w:szCs w:val="22"/>
        </w:rPr>
        <w:t xml:space="preserve">. Elle a séparé ses 2 activités </w:t>
      </w:r>
    </w:p>
    <w:p w14:paraId="231CF387" w14:textId="1370800A" w:rsidR="00FC631F" w:rsidRPr="00C33899" w:rsidRDefault="00FC631F" w:rsidP="005D3BFA">
      <w:pPr>
        <w:jc w:val="both"/>
        <w:rPr>
          <w:rFonts w:ascii="Calibri" w:hAnsi="Calibri" w:cs="Calibri"/>
          <w:sz w:val="22"/>
          <w:szCs w:val="22"/>
        </w:rPr>
      </w:pPr>
      <w:r w:rsidRPr="00C33899">
        <w:rPr>
          <w:rFonts w:ascii="Calibri" w:hAnsi="Calibri" w:cs="Calibri"/>
          <w:bCs/>
          <w:sz w:val="22"/>
          <w:szCs w:val="22"/>
          <w:u w:val="single"/>
        </w:rPr>
        <w:t>CYTHELIA ENERGY :</w:t>
      </w:r>
      <w:r w:rsidRPr="00C33899">
        <w:rPr>
          <w:rFonts w:ascii="Calibri" w:hAnsi="Calibri" w:cs="Calibri"/>
          <w:b/>
          <w:bCs/>
          <w:sz w:val="22"/>
          <w:szCs w:val="22"/>
        </w:rPr>
        <w:t xml:space="preserve">  </w:t>
      </w:r>
      <w:r w:rsidRPr="00C33899">
        <w:rPr>
          <w:rFonts w:ascii="Calibri" w:hAnsi="Calibri" w:cs="Calibri"/>
          <w:bCs/>
          <w:sz w:val="22"/>
          <w:szCs w:val="22"/>
        </w:rPr>
        <w:t>société experte en énergie photovoltaïque</w:t>
      </w:r>
      <w:r w:rsidRPr="00C33899">
        <w:rPr>
          <w:rFonts w:ascii="Calibri" w:hAnsi="Calibri" w:cs="Calibri"/>
          <w:b/>
          <w:bCs/>
          <w:sz w:val="22"/>
          <w:szCs w:val="22"/>
        </w:rPr>
        <w:t xml:space="preserve"> </w:t>
      </w:r>
      <w:r w:rsidRPr="00C33899">
        <w:rPr>
          <w:rFonts w:ascii="Calibri" w:hAnsi="Calibri" w:cs="Calibri"/>
          <w:bCs/>
          <w:sz w:val="22"/>
          <w:szCs w:val="22"/>
        </w:rPr>
        <w:t>depuis plus de 30 ans</w:t>
      </w:r>
      <w:r w:rsidR="00415CA8" w:rsidRPr="00C33899">
        <w:rPr>
          <w:rFonts w:ascii="Calibri" w:hAnsi="Calibri" w:cs="Calibri"/>
          <w:bCs/>
          <w:sz w:val="22"/>
          <w:szCs w:val="22"/>
        </w:rPr>
        <w:t xml:space="preserve">, et en particulier dans le processus d’évaluation du potentiel solaire. </w:t>
      </w:r>
    </w:p>
    <w:p w14:paraId="3D062516" w14:textId="1F18E9C9" w:rsidR="00E62690" w:rsidRPr="002025CF" w:rsidRDefault="00FC631F" w:rsidP="005D3BFA">
      <w:pPr>
        <w:jc w:val="both"/>
        <w:rPr>
          <w:rFonts w:ascii="Calibri" w:hAnsi="Calibri" w:cs="Calibri"/>
          <w:bCs/>
          <w:sz w:val="22"/>
          <w:szCs w:val="22"/>
        </w:rPr>
      </w:pPr>
      <w:r w:rsidRPr="00C33899">
        <w:rPr>
          <w:rFonts w:ascii="Calibri" w:hAnsi="Calibri" w:cs="Calibri"/>
          <w:bCs/>
          <w:sz w:val="22"/>
          <w:szCs w:val="22"/>
          <w:u w:val="single"/>
        </w:rPr>
        <w:t>Trace Software International :</w:t>
      </w:r>
      <w:r w:rsidRPr="00C33899">
        <w:rPr>
          <w:rFonts w:ascii="Calibri" w:hAnsi="Calibri" w:cs="Calibri"/>
          <w:b/>
          <w:bCs/>
          <w:sz w:val="22"/>
          <w:szCs w:val="22"/>
        </w:rPr>
        <w:t xml:space="preserve"> </w:t>
      </w:r>
      <w:r w:rsidR="006B7363" w:rsidRPr="00C33899">
        <w:rPr>
          <w:rFonts w:ascii="Calibri" w:hAnsi="Calibri" w:cs="Calibri"/>
          <w:bCs/>
          <w:sz w:val="22"/>
          <w:szCs w:val="22"/>
        </w:rPr>
        <w:t xml:space="preserve">société spécialisée dans le développement de logiciels et de services dédiés aux professionnels du bâtiment et de l’énergie, depuis plus de 35 ans. Particulièrement </w:t>
      </w:r>
      <w:r w:rsidR="006B7363" w:rsidRPr="00C33899">
        <w:rPr>
          <w:rFonts w:ascii="Calibri" w:hAnsi="Calibri" w:cs="Calibri"/>
          <w:bCs/>
          <w:sz w:val="22"/>
          <w:szCs w:val="22"/>
        </w:rPr>
        <w:lastRenderedPageBreak/>
        <w:t xml:space="preserve">reconnue pour son expertise dans la conception d’installations électriques et photovoltaïques. </w:t>
      </w:r>
      <w:r w:rsidR="00C8629E" w:rsidRPr="00C33899">
        <w:rPr>
          <w:rFonts w:ascii="Calibri" w:hAnsi="Calibri" w:cs="Calibri"/>
          <w:bCs/>
          <w:sz w:val="22"/>
          <w:szCs w:val="22"/>
        </w:rPr>
        <w:t xml:space="preserve">TSI est la maison-mère de Cythelia Energy. </w:t>
      </w:r>
    </w:p>
    <w:p w14:paraId="5E626348" w14:textId="77777777" w:rsidR="0054580E" w:rsidRPr="00C33899" w:rsidRDefault="0054580E" w:rsidP="0054580E">
      <w:pPr>
        <w:jc w:val="both"/>
        <w:rPr>
          <w:rFonts w:ascii="Calibri" w:hAnsi="Calibri" w:cs="Calibri"/>
          <w:b/>
          <w:sz w:val="22"/>
          <w:szCs w:val="22"/>
        </w:rPr>
      </w:pPr>
      <w:r w:rsidRPr="00C33899">
        <w:rPr>
          <w:rFonts w:ascii="Calibri" w:hAnsi="Calibri" w:cs="Calibri"/>
          <w:b/>
          <w:sz w:val="22"/>
          <w:szCs w:val="22"/>
        </w:rPr>
        <w:t xml:space="preserve">Historique de la démarche </w:t>
      </w:r>
    </w:p>
    <w:p w14:paraId="7F87AB07" w14:textId="77777777" w:rsidR="0054580E" w:rsidRPr="00C33899" w:rsidRDefault="0054580E" w:rsidP="0054580E">
      <w:pPr>
        <w:pStyle w:val="Paragraphedeliste"/>
        <w:numPr>
          <w:ilvl w:val="0"/>
          <w:numId w:val="7"/>
        </w:numPr>
        <w:rPr>
          <w:rFonts w:ascii="Calibri" w:hAnsi="Calibri" w:cs="Calibri"/>
          <w:sz w:val="22"/>
          <w:szCs w:val="22"/>
        </w:rPr>
      </w:pPr>
      <w:r w:rsidRPr="00C33899">
        <w:rPr>
          <w:rFonts w:ascii="Calibri" w:hAnsi="Calibri" w:cs="Calibri"/>
          <w:sz w:val="22"/>
          <w:szCs w:val="22"/>
        </w:rPr>
        <w:t xml:space="preserve">En novembre 2023 : Présentation par la société du projet lors de l’atelier EnR en présence des ambassadeurs du développement durable des villes, organisé à Vincennes, </w:t>
      </w:r>
    </w:p>
    <w:p w14:paraId="12B91EA3" w14:textId="77777777" w:rsidR="0054580E" w:rsidRPr="00C33899" w:rsidRDefault="0054580E" w:rsidP="0054580E">
      <w:pPr>
        <w:pStyle w:val="Paragraphedeliste"/>
        <w:numPr>
          <w:ilvl w:val="0"/>
          <w:numId w:val="7"/>
        </w:numPr>
        <w:rPr>
          <w:rFonts w:ascii="Calibri" w:hAnsi="Calibri" w:cs="Calibri"/>
          <w:sz w:val="22"/>
          <w:szCs w:val="22"/>
        </w:rPr>
      </w:pPr>
      <w:r w:rsidRPr="00C33899">
        <w:rPr>
          <w:rFonts w:ascii="Calibri" w:hAnsi="Calibri" w:cs="Calibri"/>
          <w:sz w:val="22"/>
          <w:szCs w:val="22"/>
        </w:rPr>
        <w:t>3 mai 2024 : Réunion avec les services de PEMB : DSI, Dev Eco, bâtiments, Urbanisme pour présenter la solution.</w:t>
      </w:r>
    </w:p>
    <w:p w14:paraId="62D906B0" w14:textId="77777777" w:rsidR="0054580E" w:rsidRPr="00C33899" w:rsidRDefault="0054580E" w:rsidP="0054580E">
      <w:pPr>
        <w:pStyle w:val="Paragraphedeliste"/>
        <w:numPr>
          <w:ilvl w:val="0"/>
          <w:numId w:val="7"/>
        </w:numPr>
        <w:jc w:val="both"/>
        <w:rPr>
          <w:rFonts w:ascii="Calibri" w:hAnsi="Calibri" w:cs="Calibri"/>
          <w:sz w:val="22"/>
          <w:szCs w:val="22"/>
        </w:rPr>
      </w:pPr>
      <w:r w:rsidRPr="00C33899">
        <w:rPr>
          <w:rFonts w:ascii="Calibri" w:hAnsi="Calibri" w:cs="Calibri"/>
          <w:sz w:val="22"/>
          <w:szCs w:val="22"/>
        </w:rPr>
        <w:t xml:space="preserve">Fin mai 2024 : présentation du projet au dernier comité de pilotage PCAET l’entreprise est venue présenter sa solution et PEMB a informé de son déploiement. </w:t>
      </w:r>
    </w:p>
    <w:p w14:paraId="3AE285F9" w14:textId="77777777" w:rsidR="0054580E" w:rsidRPr="00C33899" w:rsidRDefault="0054580E" w:rsidP="0054580E">
      <w:pPr>
        <w:pStyle w:val="Paragraphedeliste"/>
        <w:numPr>
          <w:ilvl w:val="0"/>
          <w:numId w:val="7"/>
        </w:numPr>
        <w:jc w:val="both"/>
        <w:rPr>
          <w:rFonts w:ascii="Calibri" w:hAnsi="Calibri" w:cs="Calibri"/>
          <w:sz w:val="22"/>
          <w:szCs w:val="22"/>
        </w:rPr>
      </w:pPr>
      <w:r w:rsidRPr="00C33899">
        <w:rPr>
          <w:rFonts w:ascii="Calibri" w:hAnsi="Calibri" w:cs="Calibri"/>
          <w:sz w:val="22"/>
          <w:szCs w:val="22"/>
        </w:rPr>
        <w:t xml:space="preserve">Eté 2024 échange sur les principes de coopération </w:t>
      </w:r>
    </w:p>
    <w:p w14:paraId="1F3A7AD9" w14:textId="35B9617F" w:rsidR="0054580E" w:rsidRPr="00C33899" w:rsidRDefault="0054580E" w:rsidP="0054580E">
      <w:pPr>
        <w:pStyle w:val="Paragraphedeliste"/>
        <w:numPr>
          <w:ilvl w:val="0"/>
          <w:numId w:val="7"/>
        </w:numPr>
        <w:jc w:val="both"/>
        <w:rPr>
          <w:rFonts w:ascii="Calibri" w:hAnsi="Calibri" w:cs="Calibri"/>
          <w:sz w:val="22"/>
          <w:szCs w:val="22"/>
        </w:rPr>
      </w:pPr>
      <w:r w:rsidRPr="00C33899">
        <w:rPr>
          <w:rFonts w:ascii="Calibri" w:hAnsi="Calibri" w:cs="Calibri"/>
          <w:sz w:val="22"/>
          <w:szCs w:val="22"/>
        </w:rPr>
        <w:t>Novembre 2024</w:t>
      </w:r>
      <w:r w:rsidR="002353DD">
        <w:rPr>
          <w:rFonts w:ascii="Calibri" w:hAnsi="Calibri" w:cs="Calibri"/>
          <w:sz w:val="22"/>
          <w:szCs w:val="22"/>
        </w:rPr>
        <w:t xml:space="preserve"> : </w:t>
      </w:r>
      <w:r w:rsidRPr="00C33899">
        <w:rPr>
          <w:rFonts w:ascii="Calibri" w:hAnsi="Calibri" w:cs="Calibri"/>
          <w:sz w:val="22"/>
          <w:szCs w:val="22"/>
        </w:rPr>
        <w:t xml:space="preserve">Sollicitation de la ville de Vincennes sur son besoin de cadastre solaire </w:t>
      </w:r>
    </w:p>
    <w:p w14:paraId="1E2C3B05" w14:textId="0618DD00" w:rsidR="0054580E" w:rsidRDefault="0054580E" w:rsidP="005D3BFA">
      <w:pPr>
        <w:pStyle w:val="Paragraphedeliste"/>
        <w:numPr>
          <w:ilvl w:val="0"/>
          <w:numId w:val="7"/>
        </w:numPr>
        <w:jc w:val="both"/>
        <w:rPr>
          <w:rFonts w:ascii="Calibri" w:hAnsi="Calibri" w:cs="Calibri"/>
          <w:sz w:val="22"/>
          <w:szCs w:val="22"/>
        </w:rPr>
      </w:pPr>
      <w:r w:rsidRPr="00C33899">
        <w:rPr>
          <w:rFonts w:ascii="Calibri" w:hAnsi="Calibri" w:cs="Calibri"/>
          <w:sz w:val="22"/>
          <w:szCs w:val="22"/>
        </w:rPr>
        <w:t xml:space="preserve"> </w:t>
      </w:r>
      <w:r w:rsidR="002353DD">
        <w:rPr>
          <w:rFonts w:ascii="Calibri" w:hAnsi="Calibri" w:cs="Calibri"/>
          <w:sz w:val="22"/>
          <w:szCs w:val="22"/>
        </w:rPr>
        <w:t xml:space="preserve">19 </w:t>
      </w:r>
      <w:r w:rsidRPr="00C33899">
        <w:rPr>
          <w:rFonts w:ascii="Calibri" w:hAnsi="Calibri" w:cs="Calibri"/>
          <w:sz w:val="22"/>
          <w:szCs w:val="22"/>
        </w:rPr>
        <w:t xml:space="preserve">Décembre </w:t>
      </w:r>
      <w:r w:rsidR="002353DD">
        <w:rPr>
          <w:rFonts w:ascii="Calibri" w:hAnsi="Calibri" w:cs="Calibri"/>
          <w:sz w:val="22"/>
          <w:szCs w:val="22"/>
        </w:rPr>
        <w:t xml:space="preserve">2024 : </w:t>
      </w:r>
      <w:r w:rsidRPr="00C33899">
        <w:rPr>
          <w:rFonts w:ascii="Calibri" w:hAnsi="Calibri" w:cs="Calibri"/>
          <w:sz w:val="22"/>
          <w:szCs w:val="22"/>
        </w:rPr>
        <w:t xml:space="preserve">réunion de </w:t>
      </w:r>
      <w:r w:rsidR="002353DD">
        <w:rPr>
          <w:rFonts w:ascii="Calibri" w:hAnsi="Calibri" w:cs="Calibri"/>
          <w:sz w:val="22"/>
          <w:szCs w:val="22"/>
        </w:rPr>
        <w:t xml:space="preserve">présentation du projet à Didier </w:t>
      </w:r>
      <w:r w:rsidR="00262E74">
        <w:rPr>
          <w:rFonts w:ascii="Calibri" w:hAnsi="Calibri" w:cs="Calibri"/>
          <w:sz w:val="22"/>
          <w:szCs w:val="22"/>
        </w:rPr>
        <w:t>H</w:t>
      </w:r>
      <w:r w:rsidR="002353DD">
        <w:rPr>
          <w:rFonts w:ascii="Calibri" w:hAnsi="Calibri" w:cs="Calibri"/>
          <w:sz w:val="22"/>
          <w:szCs w:val="22"/>
        </w:rPr>
        <w:t>alter et son équipe SIG, Anthony Turquet</w:t>
      </w:r>
    </w:p>
    <w:p w14:paraId="605F1907" w14:textId="5675E317" w:rsidR="002353DD" w:rsidRDefault="00ED3A42" w:rsidP="002353DD">
      <w:pPr>
        <w:pStyle w:val="Paragraphedeliste"/>
        <w:numPr>
          <w:ilvl w:val="0"/>
          <w:numId w:val="7"/>
        </w:numPr>
        <w:jc w:val="both"/>
        <w:rPr>
          <w:rFonts w:ascii="Calibri" w:hAnsi="Calibri" w:cs="Calibri"/>
          <w:sz w:val="22"/>
          <w:szCs w:val="22"/>
        </w:rPr>
      </w:pPr>
      <w:r>
        <w:rPr>
          <w:rFonts w:ascii="Calibri" w:hAnsi="Calibri" w:cs="Calibri"/>
          <w:sz w:val="22"/>
          <w:szCs w:val="22"/>
        </w:rPr>
        <w:t>14 janvier </w:t>
      </w:r>
      <w:r w:rsidR="00DB3F77">
        <w:rPr>
          <w:rFonts w:ascii="Calibri" w:hAnsi="Calibri" w:cs="Calibri"/>
          <w:sz w:val="22"/>
          <w:szCs w:val="22"/>
        </w:rPr>
        <w:t xml:space="preserve">2025 </w:t>
      </w:r>
      <w:r>
        <w:rPr>
          <w:rFonts w:ascii="Calibri" w:hAnsi="Calibri" w:cs="Calibri"/>
          <w:sz w:val="22"/>
          <w:szCs w:val="22"/>
        </w:rPr>
        <w:t xml:space="preserve">: </w:t>
      </w:r>
      <w:r w:rsidR="00DB3F77">
        <w:rPr>
          <w:rFonts w:ascii="Calibri" w:hAnsi="Calibri" w:cs="Calibri"/>
          <w:sz w:val="22"/>
          <w:szCs w:val="22"/>
        </w:rPr>
        <w:t>réunion</w:t>
      </w:r>
      <w:r>
        <w:rPr>
          <w:rFonts w:ascii="Calibri" w:hAnsi="Calibri" w:cs="Calibri"/>
          <w:sz w:val="22"/>
          <w:szCs w:val="22"/>
        </w:rPr>
        <w:t xml:space="preserve"> de </w:t>
      </w:r>
      <w:r w:rsidR="00DB3F77">
        <w:rPr>
          <w:rFonts w:ascii="Calibri" w:hAnsi="Calibri" w:cs="Calibri"/>
          <w:sz w:val="22"/>
          <w:szCs w:val="22"/>
        </w:rPr>
        <w:t xml:space="preserve">préfiguration entre Cythelia </w:t>
      </w:r>
      <w:r w:rsidR="002353DD">
        <w:rPr>
          <w:rFonts w:ascii="Calibri" w:hAnsi="Calibri" w:cs="Calibri"/>
          <w:sz w:val="22"/>
          <w:szCs w:val="22"/>
        </w:rPr>
        <w:t xml:space="preserve">Energy (Benoit Lelong) </w:t>
      </w:r>
      <w:r w:rsidR="00C60EFD">
        <w:rPr>
          <w:rFonts w:ascii="Calibri" w:hAnsi="Calibri" w:cs="Calibri"/>
          <w:sz w:val="22"/>
          <w:szCs w:val="22"/>
        </w:rPr>
        <w:t xml:space="preserve">+ IGN François Lecordix </w:t>
      </w:r>
      <w:r w:rsidR="00DB3F77">
        <w:rPr>
          <w:rFonts w:ascii="Calibri" w:hAnsi="Calibri" w:cs="Calibri"/>
          <w:sz w:val="22"/>
          <w:szCs w:val="22"/>
        </w:rPr>
        <w:t>et les services informatiques</w:t>
      </w:r>
      <w:r w:rsidR="00C60EFD">
        <w:rPr>
          <w:rFonts w:ascii="Calibri" w:hAnsi="Calibri" w:cs="Calibri"/>
          <w:sz w:val="22"/>
          <w:szCs w:val="22"/>
        </w:rPr>
        <w:t xml:space="preserve"> SIG Anthony </w:t>
      </w:r>
      <w:r w:rsidR="00262E74">
        <w:rPr>
          <w:rFonts w:ascii="Calibri" w:hAnsi="Calibri" w:cs="Calibri"/>
          <w:sz w:val="22"/>
          <w:szCs w:val="22"/>
        </w:rPr>
        <w:t>T</w:t>
      </w:r>
      <w:bookmarkStart w:id="0" w:name="_GoBack"/>
      <w:bookmarkEnd w:id="0"/>
      <w:r w:rsidR="00C60EFD">
        <w:rPr>
          <w:rFonts w:ascii="Calibri" w:hAnsi="Calibri" w:cs="Calibri"/>
          <w:sz w:val="22"/>
          <w:szCs w:val="22"/>
        </w:rPr>
        <w:t xml:space="preserve">urquet et </w:t>
      </w:r>
      <w:proofErr w:type="spellStart"/>
      <w:r w:rsidR="00C60EFD">
        <w:rPr>
          <w:rFonts w:ascii="Calibri" w:hAnsi="Calibri" w:cs="Calibri"/>
          <w:sz w:val="22"/>
          <w:szCs w:val="22"/>
        </w:rPr>
        <w:t>Marcela</w:t>
      </w:r>
      <w:proofErr w:type="spellEnd"/>
      <w:r w:rsidR="00C60EFD">
        <w:rPr>
          <w:rFonts w:ascii="Calibri" w:hAnsi="Calibri" w:cs="Calibri"/>
          <w:sz w:val="22"/>
          <w:szCs w:val="22"/>
        </w:rPr>
        <w:t xml:space="preserve"> Neveu </w:t>
      </w:r>
      <w:r w:rsidR="00DB3F77">
        <w:rPr>
          <w:rFonts w:ascii="Calibri" w:hAnsi="Calibri" w:cs="Calibri"/>
          <w:sz w:val="22"/>
          <w:szCs w:val="22"/>
        </w:rPr>
        <w:t>et le Pôle Innovation</w:t>
      </w:r>
      <w:r w:rsidR="00C60EFD">
        <w:rPr>
          <w:rFonts w:ascii="Calibri" w:hAnsi="Calibri" w:cs="Calibri"/>
          <w:sz w:val="22"/>
          <w:szCs w:val="22"/>
        </w:rPr>
        <w:t xml:space="preserve"> et coopérations</w:t>
      </w:r>
    </w:p>
    <w:p w14:paraId="1BAA79C8" w14:textId="7EC56321" w:rsidR="004370DB" w:rsidRPr="002353DD" w:rsidRDefault="002353DD" w:rsidP="002353DD">
      <w:pPr>
        <w:pStyle w:val="Paragraphedeliste"/>
        <w:numPr>
          <w:ilvl w:val="0"/>
          <w:numId w:val="7"/>
        </w:numPr>
        <w:jc w:val="both"/>
        <w:rPr>
          <w:rFonts w:ascii="Calibri" w:hAnsi="Calibri" w:cs="Calibri"/>
          <w:sz w:val="22"/>
          <w:szCs w:val="22"/>
        </w:rPr>
      </w:pPr>
      <w:r>
        <w:rPr>
          <w:rFonts w:ascii="Calibri" w:hAnsi="Calibri" w:cs="Calibri"/>
          <w:sz w:val="22"/>
          <w:szCs w:val="22"/>
        </w:rPr>
        <w:t xml:space="preserve">14 Février 2025 : </w:t>
      </w:r>
      <w:r w:rsidRPr="002353DD">
        <w:rPr>
          <w:rFonts w:ascii="Calibri" w:hAnsi="Calibri" w:cs="Calibri"/>
          <w:sz w:val="22"/>
          <w:szCs w:val="22"/>
        </w:rPr>
        <w:t xml:space="preserve">Invitation </w:t>
      </w:r>
      <w:r>
        <w:rPr>
          <w:rFonts w:ascii="Calibri" w:hAnsi="Calibri" w:cs="Calibri"/>
          <w:sz w:val="22"/>
          <w:szCs w:val="22"/>
        </w:rPr>
        <w:t xml:space="preserve">à la </w:t>
      </w:r>
      <w:r w:rsidRPr="002353DD">
        <w:rPr>
          <w:rFonts w:ascii="Calibri" w:hAnsi="Calibri" w:cs="Calibri"/>
          <w:sz w:val="22"/>
          <w:szCs w:val="22"/>
        </w:rPr>
        <w:t xml:space="preserve">ville de Vincennes </w:t>
      </w:r>
      <w:r>
        <w:rPr>
          <w:rFonts w:ascii="Calibri" w:hAnsi="Calibri" w:cs="Calibri"/>
          <w:sz w:val="22"/>
          <w:szCs w:val="22"/>
        </w:rPr>
        <w:t xml:space="preserve">(Lucille Mauranne) </w:t>
      </w:r>
      <w:r w:rsidRPr="002353DD">
        <w:rPr>
          <w:rFonts w:ascii="Calibri" w:hAnsi="Calibri" w:cs="Calibri"/>
          <w:sz w:val="22"/>
          <w:szCs w:val="22"/>
        </w:rPr>
        <w:t>pour réunion de préfiguration</w:t>
      </w:r>
      <w:r>
        <w:rPr>
          <w:rFonts w:ascii="Calibri" w:hAnsi="Calibri" w:cs="Calibri"/>
          <w:sz w:val="22"/>
          <w:szCs w:val="22"/>
        </w:rPr>
        <w:t xml:space="preserve"> avec Cythelia Energy</w:t>
      </w:r>
      <w:r w:rsidRPr="002353DD">
        <w:rPr>
          <w:rFonts w:ascii="Calibri" w:hAnsi="Calibri" w:cs="Calibri"/>
          <w:sz w:val="22"/>
          <w:szCs w:val="22"/>
        </w:rPr>
        <w:t xml:space="preserve"> </w:t>
      </w:r>
      <w:r>
        <w:rPr>
          <w:rFonts w:ascii="Calibri" w:hAnsi="Calibri" w:cs="Calibri"/>
          <w:sz w:val="22"/>
          <w:szCs w:val="22"/>
        </w:rPr>
        <w:t>(Cécile Fénerole) en tant que ville pilote</w:t>
      </w:r>
    </w:p>
    <w:p w14:paraId="4E32432A" w14:textId="5A73FF3C" w:rsidR="00F45C6E" w:rsidRPr="00C33899" w:rsidRDefault="00F45C6E" w:rsidP="005D3BFA">
      <w:pPr>
        <w:jc w:val="both"/>
        <w:rPr>
          <w:rFonts w:ascii="Calibri" w:hAnsi="Calibri" w:cs="Calibri"/>
          <w:b/>
          <w:sz w:val="22"/>
          <w:szCs w:val="22"/>
          <w:highlight w:val="yellow"/>
        </w:rPr>
      </w:pPr>
      <w:r w:rsidRPr="00C33899">
        <w:rPr>
          <w:rFonts w:ascii="Calibri" w:hAnsi="Calibri" w:cs="Calibri"/>
          <w:b/>
          <w:sz w:val="22"/>
          <w:szCs w:val="22"/>
        </w:rPr>
        <w:t>Le Protocole d’expérimentation de PEMB</w:t>
      </w:r>
      <w:r w:rsidR="000344B5" w:rsidRPr="00C33899">
        <w:rPr>
          <w:rFonts w:ascii="Calibri" w:hAnsi="Calibri" w:cs="Calibri"/>
          <w:b/>
          <w:sz w:val="22"/>
          <w:szCs w:val="22"/>
        </w:rPr>
        <w:t xml:space="preserve"> </w:t>
      </w:r>
    </w:p>
    <w:p w14:paraId="6D3B028B" w14:textId="77777777" w:rsidR="00F45C6E" w:rsidRPr="00C33899" w:rsidRDefault="00F45C6E" w:rsidP="005D3BFA">
      <w:pPr>
        <w:jc w:val="both"/>
        <w:rPr>
          <w:rFonts w:ascii="Calibri" w:hAnsi="Calibri" w:cs="Calibri"/>
          <w:sz w:val="22"/>
          <w:szCs w:val="22"/>
        </w:rPr>
      </w:pPr>
      <w:r w:rsidRPr="00C33899">
        <w:rPr>
          <w:rFonts w:ascii="Calibri" w:hAnsi="Calibri" w:cs="Calibri"/>
          <w:sz w:val="22"/>
          <w:szCs w:val="22"/>
        </w:rPr>
        <w:t xml:space="preserve">L’expérimentation est portée financièrement et d’un point de vue ingénierie de projet par le pôle environnement, innovation et coopération locales et internationales de PEMB. </w:t>
      </w:r>
    </w:p>
    <w:p w14:paraId="0BDD741A" w14:textId="77777777" w:rsidR="00F45C6E" w:rsidRPr="00C33899" w:rsidRDefault="00F45C6E" w:rsidP="005D3BFA">
      <w:pPr>
        <w:jc w:val="both"/>
        <w:rPr>
          <w:rFonts w:ascii="Calibri" w:hAnsi="Calibri" w:cs="Calibri"/>
          <w:sz w:val="22"/>
          <w:szCs w:val="22"/>
        </w:rPr>
      </w:pPr>
      <w:r w:rsidRPr="00C33899">
        <w:rPr>
          <w:rFonts w:ascii="Calibri" w:hAnsi="Calibri" w:cs="Calibri"/>
          <w:sz w:val="22"/>
          <w:szCs w:val="22"/>
        </w:rPr>
        <w:t>Sa référente est : Frédérique Marquet, directrice adjointe du Pôle</w:t>
      </w:r>
    </w:p>
    <w:p w14:paraId="49BBC89C" w14:textId="77777777" w:rsidR="00F45C6E" w:rsidRPr="00C33899" w:rsidRDefault="00F45C6E" w:rsidP="005D3BFA">
      <w:pPr>
        <w:jc w:val="both"/>
        <w:rPr>
          <w:rFonts w:ascii="Calibri" w:hAnsi="Calibri" w:cs="Calibri"/>
          <w:sz w:val="22"/>
          <w:szCs w:val="22"/>
        </w:rPr>
      </w:pPr>
      <w:r w:rsidRPr="00C33899">
        <w:rPr>
          <w:rFonts w:ascii="Calibri" w:hAnsi="Calibri" w:cs="Calibri"/>
          <w:sz w:val="22"/>
          <w:szCs w:val="22"/>
        </w:rPr>
        <w:t>Le protocole se décline en 2 phases :</w:t>
      </w:r>
    </w:p>
    <w:p w14:paraId="72EAB4A9" w14:textId="77777777" w:rsidR="005E089F" w:rsidRPr="00C33899" w:rsidRDefault="00F45C6E" w:rsidP="00E62690">
      <w:pPr>
        <w:ind w:firstLine="360"/>
        <w:jc w:val="both"/>
        <w:rPr>
          <w:rFonts w:ascii="Calibri" w:hAnsi="Calibri" w:cs="Calibri"/>
          <w:b/>
          <w:sz w:val="22"/>
          <w:szCs w:val="22"/>
        </w:rPr>
      </w:pPr>
      <w:r w:rsidRPr="00C33899">
        <w:rPr>
          <w:rFonts w:ascii="Calibri" w:hAnsi="Calibri" w:cs="Calibri"/>
          <w:b/>
          <w:sz w:val="22"/>
          <w:szCs w:val="22"/>
        </w:rPr>
        <w:t xml:space="preserve">Une phase de préfiguration : </w:t>
      </w:r>
    </w:p>
    <w:p w14:paraId="7451088D" w14:textId="471F3D1F" w:rsidR="005E089F" w:rsidRPr="00C33899" w:rsidRDefault="005E089F" w:rsidP="00E62690">
      <w:pPr>
        <w:pStyle w:val="Paragraphedeliste"/>
        <w:numPr>
          <w:ilvl w:val="0"/>
          <w:numId w:val="9"/>
        </w:numPr>
        <w:ind w:left="1068"/>
        <w:jc w:val="both"/>
        <w:rPr>
          <w:rFonts w:ascii="Calibri" w:hAnsi="Calibri" w:cs="Calibri"/>
          <w:sz w:val="22"/>
          <w:szCs w:val="22"/>
        </w:rPr>
      </w:pPr>
      <w:r w:rsidRPr="00C33899">
        <w:rPr>
          <w:rFonts w:ascii="Calibri" w:hAnsi="Calibri" w:cs="Calibri"/>
          <w:sz w:val="22"/>
          <w:szCs w:val="22"/>
        </w:rPr>
        <w:t>Réunion</w:t>
      </w:r>
      <w:r w:rsidR="000344B5" w:rsidRPr="00C33899">
        <w:rPr>
          <w:rFonts w:ascii="Calibri" w:hAnsi="Calibri" w:cs="Calibri"/>
          <w:sz w:val="22"/>
          <w:szCs w:val="22"/>
        </w:rPr>
        <w:t xml:space="preserve"> avec direction informatique </w:t>
      </w:r>
      <w:r w:rsidR="002025CF">
        <w:rPr>
          <w:rFonts w:ascii="Calibri" w:hAnsi="Calibri" w:cs="Calibri"/>
          <w:sz w:val="22"/>
          <w:szCs w:val="22"/>
        </w:rPr>
        <w:t xml:space="preserve">19 </w:t>
      </w:r>
      <w:r w:rsidRPr="00C33899">
        <w:rPr>
          <w:rFonts w:ascii="Calibri" w:hAnsi="Calibri" w:cs="Calibri"/>
          <w:sz w:val="22"/>
          <w:szCs w:val="22"/>
        </w:rPr>
        <w:t>décembre 2024 : présentation de l’expérimentation et impacts sur la mission de la direction informatique : propriété des données, hébergement du cadastre solaire, sécurité, …</w:t>
      </w:r>
    </w:p>
    <w:p w14:paraId="0255195D" w14:textId="75BFA788" w:rsidR="005E089F" w:rsidRPr="00C33899" w:rsidRDefault="005E089F" w:rsidP="00E62690">
      <w:pPr>
        <w:pStyle w:val="Paragraphedeliste"/>
        <w:numPr>
          <w:ilvl w:val="0"/>
          <w:numId w:val="9"/>
        </w:numPr>
        <w:ind w:left="1068"/>
        <w:jc w:val="both"/>
        <w:rPr>
          <w:rFonts w:ascii="Calibri" w:hAnsi="Calibri" w:cs="Calibri"/>
          <w:sz w:val="22"/>
          <w:szCs w:val="22"/>
        </w:rPr>
      </w:pPr>
      <w:r w:rsidRPr="00C33899">
        <w:rPr>
          <w:rFonts w:ascii="Calibri" w:hAnsi="Calibri" w:cs="Calibri"/>
          <w:sz w:val="22"/>
          <w:szCs w:val="22"/>
        </w:rPr>
        <w:t>Réunion de travail avec prestataires et le service informatique : 14 janvier</w:t>
      </w:r>
      <w:r w:rsidR="002025CF">
        <w:rPr>
          <w:rFonts w:ascii="Calibri" w:hAnsi="Calibri" w:cs="Calibri"/>
          <w:sz w:val="22"/>
          <w:szCs w:val="22"/>
        </w:rPr>
        <w:t xml:space="preserve"> 2025</w:t>
      </w:r>
      <w:r w:rsidRPr="00C33899">
        <w:rPr>
          <w:rFonts w:ascii="Calibri" w:hAnsi="Calibri" w:cs="Calibri"/>
          <w:sz w:val="22"/>
          <w:szCs w:val="22"/>
        </w:rPr>
        <w:t> : protocole d’expérimentation et convention d’innovation, villes pilote, plan de communication, calendrier</w:t>
      </w:r>
    </w:p>
    <w:p w14:paraId="750CB0B0" w14:textId="335C552E" w:rsidR="005E089F" w:rsidRPr="00C33899" w:rsidRDefault="005E089F" w:rsidP="00E62690">
      <w:pPr>
        <w:pStyle w:val="Paragraphedeliste"/>
        <w:numPr>
          <w:ilvl w:val="0"/>
          <w:numId w:val="9"/>
        </w:numPr>
        <w:ind w:left="1068"/>
        <w:jc w:val="both"/>
        <w:rPr>
          <w:rFonts w:ascii="Calibri" w:hAnsi="Calibri" w:cs="Calibri"/>
          <w:sz w:val="22"/>
          <w:szCs w:val="22"/>
        </w:rPr>
      </w:pPr>
      <w:r w:rsidRPr="00C33899">
        <w:rPr>
          <w:rFonts w:ascii="Calibri" w:hAnsi="Calibri" w:cs="Calibri"/>
          <w:sz w:val="22"/>
          <w:szCs w:val="22"/>
        </w:rPr>
        <w:t xml:space="preserve">Réunion avec les villes pilote pour définir </w:t>
      </w:r>
      <w:r w:rsidR="008010F1" w:rsidRPr="00C33899">
        <w:rPr>
          <w:rFonts w:ascii="Calibri" w:hAnsi="Calibri" w:cs="Calibri"/>
          <w:sz w:val="22"/>
          <w:szCs w:val="22"/>
        </w:rPr>
        <w:t>le cahier</w:t>
      </w:r>
      <w:r w:rsidRPr="00C33899">
        <w:rPr>
          <w:rFonts w:ascii="Calibri" w:hAnsi="Calibri" w:cs="Calibri"/>
          <w:sz w:val="22"/>
          <w:szCs w:val="22"/>
        </w:rPr>
        <w:t xml:space="preserve"> des charges commun</w:t>
      </w:r>
      <w:r w:rsidR="002025CF">
        <w:rPr>
          <w:rFonts w:ascii="Calibri" w:hAnsi="Calibri" w:cs="Calibri"/>
          <w:sz w:val="22"/>
          <w:szCs w:val="22"/>
        </w:rPr>
        <w:t xml:space="preserve"> …</w:t>
      </w:r>
    </w:p>
    <w:p w14:paraId="4CDD1F2E" w14:textId="72605794" w:rsidR="00F45C6E" w:rsidRPr="00C33899" w:rsidRDefault="005E089F" w:rsidP="00E62690">
      <w:pPr>
        <w:pStyle w:val="Paragraphedeliste"/>
        <w:ind w:left="1068"/>
        <w:jc w:val="both"/>
        <w:rPr>
          <w:rFonts w:ascii="Calibri" w:hAnsi="Calibri" w:cs="Calibri"/>
          <w:sz w:val="22"/>
          <w:szCs w:val="22"/>
        </w:rPr>
      </w:pPr>
      <w:r w:rsidRPr="00C33899">
        <w:rPr>
          <w:rFonts w:ascii="Calibri" w:hAnsi="Calibri" w:cs="Calibri"/>
          <w:sz w:val="22"/>
          <w:szCs w:val="22"/>
        </w:rPr>
        <w:t xml:space="preserve">  </w:t>
      </w:r>
    </w:p>
    <w:p w14:paraId="186FE201" w14:textId="40871B9B" w:rsidR="00F45C6E" w:rsidRPr="00C33899" w:rsidRDefault="00F45C6E" w:rsidP="00E62690">
      <w:pPr>
        <w:ind w:firstLine="360"/>
        <w:jc w:val="both"/>
        <w:rPr>
          <w:rFonts w:ascii="Calibri" w:hAnsi="Calibri" w:cs="Calibri"/>
          <w:b/>
          <w:sz w:val="22"/>
          <w:szCs w:val="22"/>
        </w:rPr>
      </w:pPr>
      <w:r w:rsidRPr="00C33899">
        <w:rPr>
          <w:rFonts w:ascii="Calibri" w:hAnsi="Calibri" w:cs="Calibri"/>
          <w:b/>
          <w:sz w:val="22"/>
          <w:szCs w:val="22"/>
        </w:rPr>
        <w:t xml:space="preserve">Une phase d’expérimentation opérationnelle : </w:t>
      </w:r>
      <w:r w:rsidR="000344B5" w:rsidRPr="00C33899">
        <w:rPr>
          <w:rFonts w:ascii="Calibri" w:hAnsi="Calibri" w:cs="Calibri"/>
          <w:b/>
          <w:sz w:val="22"/>
          <w:szCs w:val="22"/>
        </w:rPr>
        <w:t xml:space="preserve"> </w:t>
      </w:r>
    </w:p>
    <w:p w14:paraId="34A1B1A6" w14:textId="7B3E2526" w:rsidR="000344B5" w:rsidRPr="00C33899" w:rsidRDefault="005E089F" w:rsidP="00E62690">
      <w:pPr>
        <w:pStyle w:val="Paragraphedeliste"/>
        <w:numPr>
          <w:ilvl w:val="0"/>
          <w:numId w:val="10"/>
        </w:numPr>
        <w:ind w:left="1068"/>
        <w:jc w:val="both"/>
        <w:rPr>
          <w:rFonts w:ascii="Calibri" w:hAnsi="Calibri" w:cs="Calibri"/>
          <w:sz w:val="22"/>
          <w:szCs w:val="22"/>
        </w:rPr>
      </w:pPr>
      <w:r w:rsidRPr="00C33899">
        <w:rPr>
          <w:rFonts w:ascii="Calibri" w:hAnsi="Calibri" w:cs="Calibri"/>
          <w:sz w:val="22"/>
          <w:szCs w:val="22"/>
        </w:rPr>
        <w:t xml:space="preserve">Comitologie </w:t>
      </w:r>
    </w:p>
    <w:p w14:paraId="1A24106D" w14:textId="0856E0AE" w:rsidR="005E089F" w:rsidRPr="00C33899" w:rsidRDefault="005E089F" w:rsidP="00E62690">
      <w:pPr>
        <w:pStyle w:val="Paragraphedeliste"/>
        <w:numPr>
          <w:ilvl w:val="0"/>
          <w:numId w:val="10"/>
        </w:numPr>
        <w:ind w:left="1068"/>
        <w:jc w:val="both"/>
        <w:rPr>
          <w:rFonts w:ascii="Calibri" w:hAnsi="Calibri" w:cs="Calibri"/>
          <w:sz w:val="22"/>
          <w:szCs w:val="22"/>
        </w:rPr>
      </w:pPr>
      <w:r w:rsidRPr="00C33899">
        <w:rPr>
          <w:rFonts w:ascii="Calibri" w:hAnsi="Calibri" w:cs="Calibri"/>
          <w:sz w:val="22"/>
          <w:szCs w:val="22"/>
        </w:rPr>
        <w:t>Réunions de travail avec les villes pilote et PEMB</w:t>
      </w:r>
    </w:p>
    <w:p w14:paraId="7EC13D8B" w14:textId="5980D756" w:rsidR="005E089F" w:rsidRPr="00C33899" w:rsidRDefault="005E089F" w:rsidP="00E62690">
      <w:pPr>
        <w:pStyle w:val="Paragraphedeliste"/>
        <w:numPr>
          <w:ilvl w:val="0"/>
          <w:numId w:val="10"/>
        </w:numPr>
        <w:ind w:left="1068"/>
        <w:jc w:val="both"/>
        <w:rPr>
          <w:rFonts w:ascii="Calibri" w:hAnsi="Calibri" w:cs="Calibri"/>
          <w:sz w:val="22"/>
          <w:szCs w:val="22"/>
        </w:rPr>
      </w:pPr>
      <w:r w:rsidRPr="00C33899">
        <w:rPr>
          <w:rFonts w:ascii="Calibri" w:hAnsi="Calibri" w:cs="Calibri"/>
          <w:sz w:val="22"/>
          <w:szCs w:val="22"/>
        </w:rPr>
        <w:t xml:space="preserve">Développement technique du cadastre </w:t>
      </w:r>
    </w:p>
    <w:p w14:paraId="471AE682" w14:textId="77777777" w:rsidR="00875556" w:rsidRPr="00C33899" w:rsidRDefault="00875556" w:rsidP="00E62690">
      <w:pPr>
        <w:ind w:left="348"/>
        <w:jc w:val="both"/>
        <w:rPr>
          <w:rFonts w:ascii="Calibri" w:hAnsi="Calibri" w:cs="Calibri"/>
          <w:sz w:val="22"/>
          <w:szCs w:val="22"/>
        </w:rPr>
      </w:pPr>
    </w:p>
    <w:sectPr w:rsidR="00875556" w:rsidRPr="00C3389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7B53" w14:textId="77777777" w:rsidR="000255B8" w:rsidRDefault="000255B8" w:rsidP="000255B8">
      <w:pPr>
        <w:spacing w:after="0" w:line="240" w:lineRule="auto"/>
      </w:pPr>
      <w:r>
        <w:separator/>
      </w:r>
    </w:p>
  </w:endnote>
  <w:endnote w:type="continuationSeparator" w:id="0">
    <w:p w14:paraId="0011C048" w14:textId="77777777" w:rsidR="000255B8" w:rsidRDefault="000255B8" w:rsidP="0002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756175"/>
      <w:docPartObj>
        <w:docPartGallery w:val="Page Numbers (Bottom of Page)"/>
        <w:docPartUnique/>
      </w:docPartObj>
    </w:sdtPr>
    <w:sdtEndPr/>
    <w:sdtContent>
      <w:p w14:paraId="30689714" w14:textId="23B04349" w:rsidR="00E62690" w:rsidRDefault="00E62690">
        <w:pPr>
          <w:pStyle w:val="Pieddepage"/>
        </w:pPr>
        <w:r>
          <w:rPr>
            <w:noProof/>
          </w:rPr>
          <mc:AlternateContent>
            <mc:Choice Requires="wpg">
              <w:drawing>
                <wp:anchor distT="0" distB="0" distL="114300" distR="114300" simplePos="0" relativeHeight="251659264" behindDoc="0" locked="0" layoutInCell="1" allowOverlap="1" wp14:anchorId="6123A8EB" wp14:editId="1663D11F">
                  <wp:simplePos x="0" y="0"/>
                  <wp:positionH relativeFrom="margin">
                    <wp:align>center</wp:align>
                  </wp:positionH>
                  <wp:positionV relativeFrom="page">
                    <wp:align>bottom</wp:align>
                  </wp:positionV>
                  <wp:extent cx="436880" cy="716915"/>
                  <wp:effectExtent l="9525" t="9525" r="10795" b="6985"/>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0141850" w14:textId="77777777" w:rsidR="00E62690" w:rsidRDefault="00E62690">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3A8EB" id="Groupe 5"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IGczCdo&#10;AwAAHg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30141850" w14:textId="77777777" w:rsidR="00E62690" w:rsidRDefault="00E62690">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r>
          <w:tab/>
        </w:r>
        <w:r w:rsidR="002025CF">
          <w:tab/>
          <w:t xml:space="preserve">     </w:t>
        </w:r>
        <w:r>
          <w:t xml:space="preserve">EL/FM </w:t>
        </w:r>
        <w:r w:rsidR="000B206A">
          <w:t>21 février</w:t>
        </w:r>
        <w:r>
          <w:t xml:space="preserve"> 25</w:t>
        </w:r>
      </w:p>
      <w:p w14:paraId="1450AAAB" w14:textId="262D3C21" w:rsidR="000255B8" w:rsidRDefault="00AF015C">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79B02" w14:textId="77777777" w:rsidR="000255B8" w:rsidRDefault="000255B8" w:rsidP="000255B8">
      <w:pPr>
        <w:spacing w:after="0" w:line="240" w:lineRule="auto"/>
      </w:pPr>
      <w:r>
        <w:separator/>
      </w:r>
    </w:p>
  </w:footnote>
  <w:footnote w:type="continuationSeparator" w:id="0">
    <w:p w14:paraId="169A544D" w14:textId="77777777" w:rsidR="000255B8" w:rsidRDefault="000255B8" w:rsidP="00025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6529"/>
    <w:multiLevelType w:val="hybridMultilevel"/>
    <w:tmpl w:val="45147B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C23CF"/>
    <w:multiLevelType w:val="hybridMultilevel"/>
    <w:tmpl w:val="38603AF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813F0"/>
    <w:multiLevelType w:val="multilevel"/>
    <w:tmpl w:val="1534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247CB"/>
    <w:multiLevelType w:val="hybridMultilevel"/>
    <w:tmpl w:val="06402E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D6150A"/>
    <w:multiLevelType w:val="hybridMultilevel"/>
    <w:tmpl w:val="C7221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A73704"/>
    <w:multiLevelType w:val="multilevel"/>
    <w:tmpl w:val="B556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36429"/>
    <w:multiLevelType w:val="hybridMultilevel"/>
    <w:tmpl w:val="9FE0D570"/>
    <w:lvl w:ilvl="0" w:tplc="D9CCEF26">
      <w:start w:val="1"/>
      <w:numFmt w:val="bullet"/>
      <w:lvlText w:val="•"/>
      <w:lvlJc w:val="left"/>
      <w:pPr>
        <w:tabs>
          <w:tab w:val="num" w:pos="1068"/>
        </w:tabs>
        <w:ind w:left="1068" w:hanging="360"/>
      </w:pPr>
      <w:rPr>
        <w:rFonts w:ascii="Arial" w:hAnsi="Arial" w:hint="default"/>
      </w:rPr>
    </w:lvl>
    <w:lvl w:ilvl="1" w:tplc="133062B8" w:tentative="1">
      <w:start w:val="1"/>
      <w:numFmt w:val="bullet"/>
      <w:lvlText w:val="•"/>
      <w:lvlJc w:val="left"/>
      <w:pPr>
        <w:tabs>
          <w:tab w:val="num" w:pos="1788"/>
        </w:tabs>
        <w:ind w:left="1788" w:hanging="360"/>
      </w:pPr>
      <w:rPr>
        <w:rFonts w:ascii="Arial" w:hAnsi="Arial" w:hint="default"/>
      </w:rPr>
    </w:lvl>
    <w:lvl w:ilvl="2" w:tplc="828E105C" w:tentative="1">
      <w:start w:val="1"/>
      <w:numFmt w:val="bullet"/>
      <w:lvlText w:val="•"/>
      <w:lvlJc w:val="left"/>
      <w:pPr>
        <w:tabs>
          <w:tab w:val="num" w:pos="2508"/>
        </w:tabs>
        <w:ind w:left="2508" w:hanging="360"/>
      </w:pPr>
      <w:rPr>
        <w:rFonts w:ascii="Arial" w:hAnsi="Arial" w:hint="default"/>
      </w:rPr>
    </w:lvl>
    <w:lvl w:ilvl="3" w:tplc="EB9A03E8" w:tentative="1">
      <w:start w:val="1"/>
      <w:numFmt w:val="bullet"/>
      <w:lvlText w:val="•"/>
      <w:lvlJc w:val="left"/>
      <w:pPr>
        <w:tabs>
          <w:tab w:val="num" w:pos="3228"/>
        </w:tabs>
        <w:ind w:left="3228" w:hanging="360"/>
      </w:pPr>
      <w:rPr>
        <w:rFonts w:ascii="Arial" w:hAnsi="Arial" w:hint="default"/>
      </w:rPr>
    </w:lvl>
    <w:lvl w:ilvl="4" w:tplc="220222EA" w:tentative="1">
      <w:start w:val="1"/>
      <w:numFmt w:val="bullet"/>
      <w:lvlText w:val="•"/>
      <w:lvlJc w:val="left"/>
      <w:pPr>
        <w:tabs>
          <w:tab w:val="num" w:pos="3948"/>
        </w:tabs>
        <w:ind w:left="3948" w:hanging="360"/>
      </w:pPr>
      <w:rPr>
        <w:rFonts w:ascii="Arial" w:hAnsi="Arial" w:hint="default"/>
      </w:rPr>
    </w:lvl>
    <w:lvl w:ilvl="5" w:tplc="D088693E" w:tentative="1">
      <w:start w:val="1"/>
      <w:numFmt w:val="bullet"/>
      <w:lvlText w:val="•"/>
      <w:lvlJc w:val="left"/>
      <w:pPr>
        <w:tabs>
          <w:tab w:val="num" w:pos="4668"/>
        </w:tabs>
        <w:ind w:left="4668" w:hanging="360"/>
      </w:pPr>
      <w:rPr>
        <w:rFonts w:ascii="Arial" w:hAnsi="Arial" w:hint="default"/>
      </w:rPr>
    </w:lvl>
    <w:lvl w:ilvl="6" w:tplc="03067F02" w:tentative="1">
      <w:start w:val="1"/>
      <w:numFmt w:val="bullet"/>
      <w:lvlText w:val="•"/>
      <w:lvlJc w:val="left"/>
      <w:pPr>
        <w:tabs>
          <w:tab w:val="num" w:pos="5388"/>
        </w:tabs>
        <w:ind w:left="5388" w:hanging="360"/>
      </w:pPr>
      <w:rPr>
        <w:rFonts w:ascii="Arial" w:hAnsi="Arial" w:hint="default"/>
      </w:rPr>
    </w:lvl>
    <w:lvl w:ilvl="7" w:tplc="068434E4" w:tentative="1">
      <w:start w:val="1"/>
      <w:numFmt w:val="bullet"/>
      <w:lvlText w:val="•"/>
      <w:lvlJc w:val="left"/>
      <w:pPr>
        <w:tabs>
          <w:tab w:val="num" w:pos="6108"/>
        </w:tabs>
        <w:ind w:left="6108" w:hanging="360"/>
      </w:pPr>
      <w:rPr>
        <w:rFonts w:ascii="Arial" w:hAnsi="Arial" w:hint="default"/>
      </w:rPr>
    </w:lvl>
    <w:lvl w:ilvl="8" w:tplc="8B2EFE0E" w:tentative="1">
      <w:start w:val="1"/>
      <w:numFmt w:val="bullet"/>
      <w:lvlText w:val="•"/>
      <w:lvlJc w:val="left"/>
      <w:pPr>
        <w:tabs>
          <w:tab w:val="num" w:pos="6828"/>
        </w:tabs>
        <w:ind w:left="6828" w:hanging="360"/>
      </w:pPr>
      <w:rPr>
        <w:rFonts w:ascii="Arial" w:hAnsi="Arial" w:hint="default"/>
      </w:rPr>
    </w:lvl>
  </w:abstractNum>
  <w:abstractNum w:abstractNumId="7" w15:restartNumberingAfterBreak="0">
    <w:nsid w:val="65CF07F0"/>
    <w:multiLevelType w:val="hybridMultilevel"/>
    <w:tmpl w:val="FC54B8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2E137F"/>
    <w:multiLevelType w:val="multilevel"/>
    <w:tmpl w:val="28A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93ADD"/>
    <w:multiLevelType w:val="hybridMultilevel"/>
    <w:tmpl w:val="FFD09D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2"/>
  </w:num>
  <w:num w:numId="6">
    <w:abstractNumId w:val="1"/>
  </w:num>
  <w:num w:numId="7">
    <w:abstractNumId w:val="3"/>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10"/>
    <w:rsid w:val="00014DB8"/>
    <w:rsid w:val="000255B8"/>
    <w:rsid w:val="000344B5"/>
    <w:rsid w:val="00035B4F"/>
    <w:rsid w:val="000A2C1E"/>
    <w:rsid w:val="000B206A"/>
    <w:rsid w:val="000D1DC1"/>
    <w:rsid w:val="00152E60"/>
    <w:rsid w:val="0019295F"/>
    <w:rsid w:val="002025CF"/>
    <w:rsid w:val="002353DD"/>
    <w:rsid w:val="00262E74"/>
    <w:rsid w:val="00296BD2"/>
    <w:rsid w:val="002D05C3"/>
    <w:rsid w:val="00377401"/>
    <w:rsid w:val="00394717"/>
    <w:rsid w:val="004013F8"/>
    <w:rsid w:val="00415CA8"/>
    <w:rsid w:val="004370DB"/>
    <w:rsid w:val="004841E6"/>
    <w:rsid w:val="00484536"/>
    <w:rsid w:val="004A47EF"/>
    <w:rsid w:val="004A7716"/>
    <w:rsid w:val="004D1669"/>
    <w:rsid w:val="005101C5"/>
    <w:rsid w:val="0054580E"/>
    <w:rsid w:val="005A01DF"/>
    <w:rsid w:val="005D3BFA"/>
    <w:rsid w:val="005E089F"/>
    <w:rsid w:val="00617610"/>
    <w:rsid w:val="006951E6"/>
    <w:rsid w:val="006B3EAD"/>
    <w:rsid w:val="006B7363"/>
    <w:rsid w:val="006E2D25"/>
    <w:rsid w:val="007607D6"/>
    <w:rsid w:val="007C4A63"/>
    <w:rsid w:val="008010F1"/>
    <w:rsid w:val="008206DE"/>
    <w:rsid w:val="00875556"/>
    <w:rsid w:val="009C05F0"/>
    <w:rsid w:val="009C0656"/>
    <w:rsid w:val="00A928B5"/>
    <w:rsid w:val="00AC25B0"/>
    <w:rsid w:val="00AF015C"/>
    <w:rsid w:val="00B54A46"/>
    <w:rsid w:val="00C33899"/>
    <w:rsid w:val="00C530E0"/>
    <w:rsid w:val="00C60EFD"/>
    <w:rsid w:val="00C8629E"/>
    <w:rsid w:val="00C95910"/>
    <w:rsid w:val="00D026D0"/>
    <w:rsid w:val="00D10A6C"/>
    <w:rsid w:val="00D20190"/>
    <w:rsid w:val="00D926BE"/>
    <w:rsid w:val="00DB3F77"/>
    <w:rsid w:val="00DC5B46"/>
    <w:rsid w:val="00E1090D"/>
    <w:rsid w:val="00E62690"/>
    <w:rsid w:val="00E73B8A"/>
    <w:rsid w:val="00ED3A42"/>
    <w:rsid w:val="00F45C6E"/>
    <w:rsid w:val="00F70CB5"/>
    <w:rsid w:val="00FC631F"/>
    <w:rsid w:val="00FD1113"/>
    <w:rsid w:val="00FE5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9EC400"/>
  <w15:chartTrackingRefBased/>
  <w15:docId w15:val="{F3AC7B76-B2FF-4DDB-9D23-ADAF9121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5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5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59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59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59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59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59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59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59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9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59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59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59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59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59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59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59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5910"/>
    <w:rPr>
      <w:rFonts w:eastAsiaTheme="majorEastAsia" w:cstheme="majorBidi"/>
      <w:color w:val="272727" w:themeColor="text1" w:themeTint="D8"/>
    </w:rPr>
  </w:style>
  <w:style w:type="paragraph" w:styleId="Titre">
    <w:name w:val="Title"/>
    <w:basedOn w:val="Normal"/>
    <w:next w:val="Normal"/>
    <w:link w:val="TitreCar"/>
    <w:uiPriority w:val="10"/>
    <w:qFormat/>
    <w:rsid w:val="00C95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59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59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59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5910"/>
    <w:pPr>
      <w:spacing w:before="160"/>
      <w:jc w:val="center"/>
    </w:pPr>
    <w:rPr>
      <w:i/>
      <w:iCs/>
      <w:color w:val="404040" w:themeColor="text1" w:themeTint="BF"/>
    </w:rPr>
  </w:style>
  <w:style w:type="character" w:customStyle="1" w:styleId="CitationCar">
    <w:name w:val="Citation Car"/>
    <w:basedOn w:val="Policepardfaut"/>
    <w:link w:val="Citation"/>
    <w:uiPriority w:val="29"/>
    <w:rsid w:val="00C95910"/>
    <w:rPr>
      <w:i/>
      <w:iCs/>
      <w:color w:val="404040" w:themeColor="text1" w:themeTint="BF"/>
    </w:rPr>
  </w:style>
  <w:style w:type="paragraph" w:styleId="Paragraphedeliste">
    <w:name w:val="List Paragraph"/>
    <w:basedOn w:val="Normal"/>
    <w:uiPriority w:val="34"/>
    <w:qFormat/>
    <w:rsid w:val="00C95910"/>
    <w:pPr>
      <w:ind w:left="720"/>
      <w:contextualSpacing/>
    </w:pPr>
  </w:style>
  <w:style w:type="character" w:styleId="Accentuationintense">
    <w:name w:val="Intense Emphasis"/>
    <w:basedOn w:val="Policepardfaut"/>
    <w:uiPriority w:val="21"/>
    <w:qFormat/>
    <w:rsid w:val="00C95910"/>
    <w:rPr>
      <w:i/>
      <w:iCs/>
      <w:color w:val="0F4761" w:themeColor="accent1" w:themeShade="BF"/>
    </w:rPr>
  </w:style>
  <w:style w:type="paragraph" w:styleId="Citationintense">
    <w:name w:val="Intense Quote"/>
    <w:basedOn w:val="Normal"/>
    <w:next w:val="Normal"/>
    <w:link w:val="CitationintenseCar"/>
    <w:uiPriority w:val="30"/>
    <w:qFormat/>
    <w:rsid w:val="00C95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5910"/>
    <w:rPr>
      <w:i/>
      <w:iCs/>
      <w:color w:val="0F4761" w:themeColor="accent1" w:themeShade="BF"/>
    </w:rPr>
  </w:style>
  <w:style w:type="character" w:styleId="Rfrenceintense">
    <w:name w:val="Intense Reference"/>
    <w:basedOn w:val="Policepardfaut"/>
    <w:uiPriority w:val="32"/>
    <w:qFormat/>
    <w:rsid w:val="00C95910"/>
    <w:rPr>
      <w:b/>
      <w:bCs/>
      <w:smallCaps/>
      <w:color w:val="0F4761" w:themeColor="accent1" w:themeShade="BF"/>
      <w:spacing w:val="5"/>
    </w:rPr>
  </w:style>
  <w:style w:type="paragraph" w:styleId="NormalWeb">
    <w:name w:val="Normal (Web)"/>
    <w:basedOn w:val="Normal"/>
    <w:uiPriority w:val="99"/>
    <w:semiHidden/>
    <w:unhideWhenUsed/>
    <w:rsid w:val="0061761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17610"/>
    <w:rPr>
      <w:b/>
      <w:bCs/>
    </w:rPr>
  </w:style>
  <w:style w:type="paragraph" w:styleId="Textedebulles">
    <w:name w:val="Balloon Text"/>
    <w:basedOn w:val="Normal"/>
    <w:link w:val="TextedebullesCar"/>
    <w:uiPriority w:val="99"/>
    <w:semiHidden/>
    <w:unhideWhenUsed/>
    <w:rsid w:val="005D3B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3BFA"/>
    <w:rPr>
      <w:rFonts w:ascii="Segoe UI" w:hAnsi="Segoe UI" w:cs="Segoe UI"/>
      <w:sz w:val="18"/>
      <w:szCs w:val="18"/>
    </w:rPr>
  </w:style>
  <w:style w:type="paragraph" w:styleId="En-tte">
    <w:name w:val="header"/>
    <w:basedOn w:val="Normal"/>
    <w:link w:val="En-tteCar"/>
    <w:uiPriority w:val="99"/>
    <w:unhideWhenUsed/>
    <w:rsid w:val="000255B8"/>
    <w:pPr>
      <w:tabs>
        <w:tab w:val="center" w:pos="4536"/>
        <w:tab w:val="right" w:pos="9072"/>
      </w:tabs>
      <w:spacing w:after="0" w:line="240" w:lineRule="auto"/>
    </w:pPr>
  </w:style>
  <w:style w:type="character" w:customStyle="1" w:styleId="En-tteCar">
    <w:name w:val="En-tête Car"/>
    <w:basedOn w:val="Policepardfaut"/>
    <w:link w:val="En-tte"/>
    <w:uiPriority w:val="99"/>
    <w:rsid w:val="000255B8"/>
  </w:style>
  <w:style w:type="paragraph" w:styleId="Pieddepage">
    <w:name w:val="footer"/>
    <w:basedOn w:val="Normal"/>
    <w:link w:val="PieddepageCar"/>
    <w:uiPriority w:val="99"/>
    <w:unhideWhenUsed/>
    <w:rsid w:val="000255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4301">
      <w:bodyDiv w:val="1"/>
      <w:marLeft w:val="0"/>
      <w:marRight w:val="0"/>
      <w:marTop w:val="0"/>
      <w:marBottom w:val="0"/>
      <w:divBdr>
        <w:top w:val="none" w:sz="0" w:space="0" w:color="auto"/>
        <w:left w:val="none" w:sz="0" w:space="0" w:color="auto"/>
        <w:bottom w:val="none" w:sz="0" w:space="0" w:color="auto"/>
        <w:right w:val="none" w:sz="0" w:space="0" w:color="auto"/>
      </w:divBdr>
      <w:divsChild>
        <w:div w:id="1291860773">
          <w:marLeft w:val="446"/>
          <w:marRight w:val="0"/>
          <w:marTop w:val="160"/>
          <w:marBottom w:val="0"/>
          <w:divBdr>
            <w:top w:val="none" w:sz="0" w:space="0" w:color="auto"/>
            <w:left w:val="none" w:sz="0" w:space="0" w:color="auto"/>
            <w:bottom w:val="none" w:sz="0" w:space="0" w:color="auto"/>
            <w:right w:val="none" w:sz="0" w:space="0" w:color="auto"/>
          </w:divBdr>
        </w:div>
        <w:div w:id="180361057">
          <w:marLeft w:val="446"/>
          <w:marRight w:val="0"/>
          <w:marTop w:val="0"/>
          <w:marBottom w:val="0"/>
          <w:divBdr>
            <w:top w:val="none" w:sz="0" w:space="0" w:color="auto"/>
            <w:left w:val="none" w:sz="0" w:space="0" w:color="auto"/>
            <w:bottom w:val="none" w:sz="0" w:space="0" w:color="auto"/>
            <w:right w:val="none" w:sz="0" w:space="0" w:color="auto"/>
          </w:divBdr>
        </w:div>
        <w:div w:id="1066608706">
          <w:marLeft w:val="446"/>
          <w:marRight w:val="0"/>
          <w:marTop w:val="0"/>
          <w:marBottom w:val="0"/>
          <w:divBdr>
            <w:top w:val="none" w:sz="0" w:space="0" w:color="auto"/>
            <w:left w:val="none" w:sz="0" w:space="0" w:color="auto"/>
            <w:bottom w:val="none" w:sz="0" w:space="0" w:color="auto"/>
            <w:right w:val="none" w:sz="0" w:space="0" w:color="auto"/>
          </w:divBdr>
        </w:div>
      </w:divsChild>
    </w:div>
    <w:div w:id="520974797">
      <w:bodyDiv w:val="1"/>
      <w:marLeft w:val="0"/>
      <w:marRight w:val="0"/>
      <w:marTop w:val="0"/>
      <w:marBottom w:val="0"/>
      <w:divBdr>
        <w:top w:val="none" w:sz="0" w:space="0" w:color="auto"/>
        <w:left w:val="none" w:sz="0" w:space="0" w:color="auto"/>
        <w:bottom w:val="none" w:sz="0" w:space="0" w:color="auto"/>
        <w:right w:val="none" w:sz="0" w:space="0" w:color="auto"/>
      </w:divBdr>
    </w:div>
    <w:div w:id="1215392800">
      <w:bodyDiv w:val="1"/>
      <w:marLeft w:val="0"/>
      <w:marRight w:val="0"/>
      <w:marTop w:val="0"/>
      <w:marBottom w:val="0"/>
      <w:divBdr>
        <w:top w:val="none" w:sz="0" w:space="0" w:color="auto"/>
        <w:left w:val="none" w:sz="0" w:space="0" w:color="auto"/>
        <w:bottom w:val="none" w:sz="0" w:space="0" w:color="auto"/>
        <w:right w:val="none" w:sz="0" w:space="0" w:color="auto"/>
      </w:divBdr>
    </w:div>
    <w:div w:id="1331561979">
      <w:bodyDiv w:val="1"/>
      <w:marLeft w:val="0"/>
      <w:marRight w:val="0"/>
      <w:marTop w:val="0"/>
      <w:marBottom w:val="0"/>
      <w:divBdr>
        <w:top w:val="none" w:sz="0" w:space="0" w:color="auto"/>
        <w:left w:val="none" w:sz="0" w:space="0" w:color="auto"/>
        <w:bottom w:val="none" w:sz="0" w:space="0" w:color="auto"/>
        <w:right w:val="none" w:sz="0" w:space="0" w:color="auto"/>
      </w:divBdr>
    </w:div>
    <w:div w:id="14553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1591</Words>
  <Characters>8755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Lacmari</dc:creator>
  <cp:keywords/>
  <dc:description/>
  <cp:lastModifiedBy>Frédérique Marquet</cp:lastModifiedBy>
  <cp:revision>26</cp:revision>
  <cp:lastPrinted>2024-12-06T09:49:00Z</cp:lastPrinted>
  <dcterms:created xsi:type="dcterms:W3CDTF">2024-12-06T14:47:00Z</dcterms:created>
  <dcterms:modified xsi:type="dcterms:W3CDTF">2025-06-23T12:55:00Z</dcterms:modified>
</cp:coreProperties>
</file>