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F54" w:rsidRPr="00EE535F" w:rsidRDefault="00746F54" w:rsidP="00CD2BE0">
      <w:pPr>
        <w:pStyle w:val="Titre"/>
        <w:pBdr>
          <w:bottom w:val="single" w:sz="4" w:space="1" w:color="auto"/>
        </w:pBdr>
        <w:spacing w:after="0"/>
        <w:rPr>
          <w:rFonts w:asciiTheme="minorHAnsi" w:hAnsiTheme="minorHAnsi" w:cstheme="minorHAnsi"/>
          <w:b/>
          <w:bCs/>
          <w:sz w:val="72"/>
          <w:szCs w:val="72"/>
        </w:rPr>
      </w:pPr>
      <w:r w:rsidRPr="00EE535F">
        <w:rPr>
          <w:rFonts w:asciiTheme="minorHAnsi" w:hAnsiTheme="minorHAnsi" w:cstheme="minorHAnsi"/>
          <w:b/>
          <w:bCs/>
          <w:sz w:val="72"/>
          <w:szCs w:val="72"/>
        </w:rPr>
        <w:t xml:space="preserve">EXPÉRIMENTATION SOLAR MAP </w:t>
      </w:r>
    </w:p>
    <w:p w:rsidR="00746F54" w:rsidRDefault="001C7D0A" w:rsidP="00CD2BE0">
      <w:pPr>
        <w:spacing w:after="0"/>
        <w:rPr>
          <w:b/>
          <w:bCs/>
        </w:rPr>
      </w:pPr>
      <w:r>
        <w:rPr>
          <w:b/>
          <w:bCs/>
        </w:rPr>
        <w:t>DOCUMENT REPÈRE</w:t>
      </w:r>
    </w:p>
    <w:p w:rsidR="001C7D0A" w:rsidRDefault="001C7D0A" w:rsidP="001C7D0A"/>
    <w:p w:rsidR="00467BAB" w:rsidRDefault="00467BAB">
      <w:pPr>
        <w:pStyle w:val="TM3"/>
        <w:ind w:left="446"/>
      </w:pPr>
    </w:p>
    <w:sdt>
      <w:sdtPr>
        <w:rPr>
          <w:rFonts w:asciiTheme="minorHAnsi" w:hAnsiTheme="minorHAnsi"/>
          <w:b/>
          <w:bCs/>
          <w:color w:val="595959" w:themeColor="text1" w:themeTint="A6"/>
          <w:spacing w:val="15"/>
          <w:kern w:val="2"/>
          <w:sz w:val="28"/>
          <w:szCs w:val="28"/>
          <w:lang w:eastAsia="en-US"/>
          <w14:ligatures w14:val="standardContextual"/>
        </w:rPr>
        <w:id w:val="-1382928720"/>
        <w:docPartObj>
          <w:docPartGallery w:val="Table of Contents"/>
          <w:docPartUnique/>
        </w:docPartObj>
      </w:sdtPr>
      <w:sdtEndPr/>
      <w:sdtContent>
        <w:p w:rsidR="00467BAB" w:rsidRPr="00467BAB" w:rsidRDefault="00467BAB">
          <w:pPr>
            <w:pStyle w:val="En-ttedetabledesmatires"/>
            <w:rPr>
              <w:b/>
              <w:bCs/>
            </w:rPr>
          </w:pPr>
          <w:r w:rsidRPr="00467BAB">
            <w:rPr>
              <w:b/>
              <w:bCs/>
            </w:rPr>
            <w:t>Table des matières</w:t>
          </w:r>
        </w:p>
        <w:p w:rsidR="00467BAB" w:rsidRDefault="00467BAB">
          <w:pPr>
            <w:pStyle w:val="TM1"/>
            <w:tabs>
              <w:tab w:val="right" w:leader="dot" w:pos="9062"/>
            </w:tabs>
            <w:rPr>
              <w:rStyle w:val="Lienhypertexte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174802" w:history="1">
            <w:r w:rsidRPr="006E418B">
              <w:rPr>
                <w:rStyle w:val="Lienhypertexte"/>
                <w:noProof/>
              </w:rPr>
              <w:t>En résumé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_Toc199174802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7BAB" w:rsidRPr="00467BAB" w:rsidRDefault="00467BAB" w:rsidP="00467BAB">
          <w:pPr>
            <w:rPr>
              <w:lang w:eastAsia="fr-FR"/>
            </w:rPr>
          </w:pPr>
        </w:p>
        <w:p w:rsidR="00467BAB" w:rsidRDefault="00AC26F5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03" w:history="1">
            <w:r w:rsidR="00467BAB" w:rsidRPr="006E418B">
              <w:rPr>
                <w:rStyle w:val="Lienhypertexte"/>
                <w:noProof/>
              </w:rPr>
              <w:t>1.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67BAB" w:rsidRPr="006E418B">
              <w:rPr>
                <w:rStyle w:val="Lienhypertexte"/>
                <w:noProof/>
              </w:rPr>
              <w:t xml:space="preserve">Enjeux du projet </w:t>
            </w:r>
            <w:r w:rsidR="00467BAB" w:rsidRPr="006E418B">
              <w:rPr>
                <w:rStyle w:val="Lienhypertexte"/>
                <w:bCs/>
                <w:noProof/>
              </w:rPr>
              <w:t>(en termes de coopération)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_Toc199174803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2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AC26F5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04" w:history="1">
            <w:r w:rsidR="00467BAB" w:rsidRPr="006E418B">
              <w:rPr>
                <w:rStyle w:val="Lienhypertexte"/>
                <w:noProof/>
              </w:rPr>
              <w:t>2.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67BAB" w:rsidRPr="006E418B">
              <w:rPr>
                <w:rStyle w:val="Lienhypertexte"/>
                <w:noProof/>
              </w:rPr>
              <w:t>Objectifs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_Toc199174804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2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AC26F5">
          <w:pPr>
            <w:pStyle w:val="TM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05" w:history="1">
            <w:r w:rsidR="00467BAB" w:rsidRPr="006E418B">
              <w:rPr>
                <w:rStyle w:val="Lienhypertexte"/>
                <w:noProof/>
              </w:rPr>
              <w:t>Stratégiques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_Toc199174805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2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AC26F5">
          <w:pPr>
            <w:pStyle w:val="TM2"/>
            <w:tabs>
              <w:tab w:val="right" w:leader="dot" w:pos="9062"/>
            </w:tabs>
            <w:rPr>
              <w:rStyle w:val="Lienhypertexte"/>
              <w:noProof/>
            </w:rPr>
          </w:pPr>
          <w:hyperlink w:anchor="_Toc199174806" w:history="1">
            <w:r w:rsidR="00467BAB" w:rsidRPr="006E418B">
              <w:rPr>
                <w:rStyle w:val="Lienhypertexte"/>
                <w:noProof/>
              </w:rPr>
              <w:t>Opérationnels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_Toc199174806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2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Pr="00467BAB" w:rsidRDefault="00467BAB" w:rsidP="00467BAB">
          <w:pPr>
            <w:rPr>
              <w:lang w:eastAsia="fr-FR"/>
            </w:rPr>
          </w:pPr>
        </w:p>
        <w:p w:rsidR="00467BAB" w:rsidRDefault="00AC26F5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07" w:history="1">
            <w:r w:rsidR="00467BAB" w:rsidRPr="006E418B">
              <w:rPr>
                <w:rStyle w:val="Lienhypertexte"/>
                <w:noProof/>
              </w:rPr>
              <w:t>3.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67BAB" w:rsidRPr="006E418B">
              <w:rPr>
                <w:rStyle w:val="Lienhypertexte"/>
                <w:noProof/>
              </w:rPr>
              <w:t>Opportunité</w:t>
            </w:r>
            <w:r w:rsidR="00467BAB">
              <w:rPr>
                <w:rStyle w:val="Lienhypertexte"/>
                <w:noProof/>
              </w:rPr>
              <w:t>s</w:t>
            </w:r>
            <w:r w:rsidR="00467BAB" w:rsidRPr="006E418B">
              <w:rPr>
                <w:rStyle w:val="Lienhypertexte"/>
                <w:noProof/>
              </w:rPr>
              <w:t xml:space="preserve"> stratégique</w:t>
            </w:r>
            <w:r w:rsidR="00467BAB">
              <w:rPr>
                <w:rStyle w:val="Lienhypertexte"/>
                <w:noProof/>
              </w:rPr>
              <w:t>s</w:t>
            </w:r>
            <w:r w:rsidR="00467BAB" w:rsidRPr="006E418B">
              <w:rPr>
                <w:rStyle w:val="Lienhypertexte"/>
                <w:noProof/>
              </w:rPr>
              <w:t xml:space="preserve"> de l’expérimentation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_Toc199174807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2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AC26F5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08" w:history="1">
            <w:r w:rsidR="00467BAB" w:rsidRPr="006E418B">
              <w:rPr>
                <w:rStyle w:val="Lienhypertexte"/>
                <w:noProof/>
              </w:rPr>
              <w:t>4.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  <w:t>C</w:t>
            </w:r>
            <w:r w:rsidR="00467BAB" w:rsidRPr="006E418B">
              <w:rPr>
                <w:rStyle w:val="Lienhypertexte"/>
                <w:noProof/>
              </w:rPr>
              <w:t>réation de valeur attendue / impacts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_Toc199174808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3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AC26F5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09" w:history="1">
            <w:r w:rsidR="00467BAB" w:rsidRPr="006E418B">
              <w:rPr>
                <w:rStyle w:val="Lienhypertexte"/>
                <w:noProof/>
              </w:rPr>
              <w:t>5.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67BAB" w:rsidRPr="006E418B">
              <w:rPr>
                <w:rStyle w:val="Lienhypertexte"/>
                <w:noProof/>
              </w:rPr>
              <w:t>Gouvernance et acteurs clés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_Toc199174809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3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AC26F5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10" w:history="1">
            <w:r w:rsidR="00467BAB" w:rsidRPr="006E418B">
              <w:rPr>
                <w:rStyle w:val="Lienhypertexte"/>
                <w:noProof/>
              </w:rPr>
              <w:t>6.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67BAB" w:rsidRPr="006E418B">
              <w:rPr>
                <w:rStyle w:val="Lienhypertexte"/>
                <w:noProof/>
              </w:rPr>
              <w:t xml:space="preserve">Calendrier détaillé </w:t>
            </w:r>
            <w:r w:rsidR="00467BAB" w:rsidRPr="006E418B">
              <w:rPr>
                <w:rStyle w:val="Lienhypertexte"/>
                <w:bCs/>
                <w:noProof/>
              </w:rPr>
              <w:t>(2025-2026)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_Toc199174810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4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AC26F5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11" w:history="1">
            <w:r w:rsidR="00467BAB" w:rsidRPr="006E418B">
              <w:rPr>
                <w:rStyle w:val="Lienhypertexte"/>
                <w:noProof/>
              </w:rPr>
              <w:t>7.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67BAB" w:rsidRPr="006E418B">
              <w:rPr>
                <w:rStyle w:val="Lienhypertexte"/>
                <w:noProof/>
              </w:rPr>
              <w:t>Communication et Outils Associés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_Toc199174811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5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AC26F5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12" w:history="1">
            <w:r w:rsidR="00467BAB" w:rsidRPr="006E418B">
              <w:rPr>
                <w:rStyle w:val="Lienhypertexte"/>
                <w:noProof/>
              </w:rPr>
              <w:t>8.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67BAB" w:rsidRPr="006E418B">
              <w:rPr>
                <w:rStyle w:val="Lienhypertexte"/>
                <w:noProof/>
              </w:rPr>
              <w:t>Éléments Techniques et Données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_Toc199174812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5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AC26F5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13" w:history="1">
            <w:r w:rsidR="00467BAB" w:rsidRPr="006E418B">
              <w:rPr>
                <w:rStyle w:val="Lienhypertexte"/>
                <w:noProof/>
              </w:rPr>
              <w:t>9.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67BAB" w:rsidRPr="006E418B">
              <w:rPr>
                <w:rStyle w:val="Lienhypertexte"/>
                <w:noProof/>
              </w:rPr>
              <w:t>Conditions de Réussite Complémentaires identifiées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_Toc199174813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5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AC26F5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14" w:history="1">
            <w:r w:rsidR="00467BAB" w:rsidRPr="006E418B">
              <w:rPr>
                <w:rStyle w:val="Lienhypertexte"/>
                <w:noProof/>
              </w:rPr>
              <w:t>10.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67BAB" w:rsidRPr="006E418B">
              <w:rPr>
                <w:rStyle w:val="Lienhypertexte"/>
                <w:noProof/>
              </w:rPr>
              <w:t>Points d’attention identifiés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_Toc199174814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5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AC26F5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15" w:history="1">
            <w:r w:rsidR="00467BAB" w:rsidRPr="006E418B">
              <w:rPr>
                <w:rStyle w:val="Lienhypertexte"/>
                <w:noProof/>
              </w:rPr>
              <w:t>11.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67BAB" w:rsidRPr="006E418B">
              <w:rPr>
                <w:rStyle w:val="Lienhypertexte"/>
                <w:noProof/>
              </w:rPr>
              <w:t>Recommandations stratégiques enrichies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_Toc199174815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6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AC26F5" w:rsidP="00467BAB">
          <w:pPr>
            <w:pStyle w:val="TM1"/>
            <w:tabs>
              <w:tab w:val="left" w:pos="709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174816" w:history="1">
            <w:r w:rsidR="00467BAB" w:rsidRPr="006E418B">
              <w:rPr>
                <w:rStyle w:val="Lienhypertexte"/>
                <w:noProof/>
              </w:rPr>
              <w:t>12.</w:t>
            </w:r>
            <w:r w:rsidR="00467BAB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67BAB" w:rsidRPr="006E418B">
              <w:rPr>
                <w:rStyle w:val="Lienhypertexte"/>
                <w:noProof/>
              </w:rPr>
              <w:t>Synergies et valorisation externe</w:t>
            </w:r>
            <w:r w:rsidR="00467BAB">
              <w:rPr>
                <w:noProof/>
                <w:webHidden/>
              </w:rPr>
              <w:tab/>
            </w:r>
            <w:r w:rsidR="00467BAB">
              <w:rPr>
                <w:noProof/>
                <w:webHidden/>
              </w:rPr>
              <w:fldChar w:fldCharType="begin"/>
            </w:r>
            <w:r w:rsidR="00467BAB">
              <w:rPr>
                <w:noProof/>
                <w:webHidden/>
              </w:rPr>
              <w:instrText xml:space="preserve"> PAGEREF _Toc199174816 \h </w:instrText>
            </w:r>
            <w:r w:rsidR="00467BAB">
              <w:rPr>
                <w:noProof/>
                <w:webHidden/>
              </w:rPr>
            </w:r>
            <w:r w:rsidR="00467BAB">
              <w:rPr>
                <w:noProof/>
                <w:webHidden/>
              </w:rPr>
              <w:fldChar w:fldCharType="separate"/>
            </w:r>
            <w:r w:rsidR="00467BAB">
              <w:rPr>
                <w:noProof/>
                <w:webHidden/>
              </w:rPr>
              <w:t>6</w:t>
            </w:r>
            <w:r w:rsidR="00467BAB">
              <w:rPr>
                <w:noProof/>
                <w:webHidden/>
              </w:rPr>
              <w:fldChar w:fldCharType="end"/>
            </w:r>
          </w:hyperlink>
        </w:p>
        <w:p w:rsidR="00467BAB" w:rsidRDefault="00467BAB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:rsidR="00467BAB" w:rsidRDefault="00467BAB" w:rsidP="00467BAB">
          <w:pPr>
            <w:spacing w:after="0"/>
            <w:rPr>
              <w:b/>
              <w:bCs/>
            </w:rPr>
          </w:pPr>
          <w:r>
            <w:rPr>
              <w:b/>
              <w:bCs/>
            </w:rPr>
            <w:t xml:space="preserve">Annexes : </w:t>
          </w:r>
        </w:p>
        <w:p w:rsidR="00467BAB" w:rsidRPr="00467BAB" w:rsidRDefault="00467BAB" w:rsidP="00467BAB">
          <w:pPr>
            <w:pStyle w:val="Sous-titre"/>
            <w:tabs>
              <w:tab w:val="left" w:pos="8931"/>
            </w:tabs>
            <w:spacing w:after="0"/>
            <w:rPr>
              <w:sz w:val="20"/>
              <w:szCs w:val="20"/>
            </w:rPr>
          </w:pPr>
          <w:r w:rsidRPr="00467BAB">
            <w:rPr>
              <w:sz w:val="20"/>
              <w:szCs w:val="20"/>
            </w:rPr>
            <w:t>#1 : Principe d’une Expérimentation TDI</w:t>
          </w:r>
          <w:r w:rsidRPr="00467BAB">
            <w:rPr>
              <w:sz w:val="20"/>
              <w:szCs w:val="20"/>
              <w:u w:val="dotted"/>
            </w:rPr>
            <w:tab/>
          </w:r>
          <w:r>
            <w:rPr>
              <w:sz w:val="20"/>
              <w:szCs w:val="20"/>
            </w:rPr>
            <w:t>7</w:t>
          </w:r>
        </w:p>
        <w:p w:rsidR="00467BAB" w:rsidRPr="00467BAB" w:rsidRDefault="00467BAB" w:rsidP="00467BAB">
          <w:pPr>
            <w:pStyle w:val="Sous-titre"/>
            <w:tabs>
              <w:tab w:val="left" w:pos="8931"/>
            </w:tabs>
            <w:spacing w:after="0"/>
            <w:rPr>
              <w:sz w:val="20"/>
              <w:szCs w:val="20"/>
            </w:rPr>
          </w:pPr>
          <w:r w:rsidRPr="00467BAB">
            <w:rPr>
              <w:sz w:val="20"/>
              <w:szCs w:val="20"/>
            </w:rPr>
            <w:t>#2 : Définition de ce qu’est une « ville pilote »</w:t>
          </w:r>
          <w:r w:rsidRPr="00467BAB">
            <w:rPr>
              <w:sz w:val="20"/>
              <w:szCs w:val="20"/>
              <w:u w:val="dotted"/>
            </w:rPr>
            <w:tab/>
          </w:r>
          <w:r>
            <w:rPr>
              <w:sz w:val="20"/>
              <w:szCs w:val="20"/>
            </w:rPr>
            <w:t>8</w:t>
          </w:r>
        </w:p>
        <w:p w:rsidR="00467BAB" w:rsidRPr="00467BAB" w:rsidRDefault="00467BAB" w:rsidP="00467BAB">
          <w:pPr>
            <w:pStyle w:val="Sous-titre"/>
            <w:tabs>
              <w:tab w:val="left" w:pos="8931"/>
            </w:tabs>
            <w:spacing w:after="0"/>
            <w:rPr>
              <w:sz w:val="20"/>
              <w:szCs w:val="20"/>
            </w:rPr>
          </w:pPr>
          <w:r w:rsidRPr="00467BAB">
            <w:rPr>
              <w:sz w:val="20"/>
              <w:szCs w:val="20"/>
            </w:rPr>
            <w:t>#3 les territoires d’expérimentation SOLAR MAP</w:t>
          </w:r>
          <w:r w:rsidRPr="00467BAB">
            <w:rPr>
              <w:sz w:val="20"/>
              <w:szCs w:val="20"/>
              <w:u w:val="dotted"/>
            </w:rPr>
            <w:tab/>
          </w:r>
          <w:r>
            <w:rPr>
              <w:sz w:val="20"/>
              <w:szCs w:val="20"/>
            </w:rPr>
            <w:t>8</w:t>
          </w:r>
        </w:p>
        <w:p w:rsidR="00467BAB" w:rsidRPr="00467BAB" w:rsidRDefault="00467BAB" w:rsidP="00467BAB">
          <w:pPr>
            <w:pStyle w:val="Sous-titre"/>
            <w:tabs>
              <w:tab w:val="left" w:pos="8931"/>
            </w:tabs>
            <w:spacing w:after="0"/>
            <w:rPr>
              <w:sz w:val="20"/>
              <w:szCs w:val="20"/>
            </w:rPr>
          </w:pPr>
          <w:r w:rsidRPr="00467BAB">
            <w:rPr>
              <w:sz w:val="20"/>
              <w:szCs w:val="20"/>
            </w:rPr>
            <w:t>#4 : Pourquoi avoir choisi CYTHELIA dans cette expérimentation</w:t>
          </w:r>
          <w:r w:rsidRPr="00467BAB">
            <w:rPr>
              <w:sz w:val="20"/>
              <w:szCs w:val="20"/>
              <w:u w:val="dotted"/>
            </w:rPr>
            <w:tab/>
          </w:r>
          <w:r>
            <w:rPr>
              <w:sz w:val="20"/>
              <w:szCs w:val="20"/>
            </w:rPr>
            <w:t>9</w:t>
          </w:r>
        </w:p>
      </w:sdtContent>
    </w:sdt>
    <w:p w:rsidR="00132968" w:rsidRDefault="00132968">
      <w:pPr>
        <w:rPr>
          <w:rFonts w:eastAsiaTheme="majorEastAsia" w:cstheme="majorBidi"/>
          <w:b/>
          <w:caps/>
          <w:color w:val="595959" w:themeColor="text1" w:themeTint="A6"/>
          <w:sz w:val="44"/>
          <w:szCs w:val="40"/>
        </w:rPr>
      </w:pPr>
      <w:r>
        <w:br w:type="page"/>
      </w:r>
    </w:p>
    <w:p w:rsidR="001C7D0A" w:rsidRPr="00CD2BE0" w:rsidRDefault="001C7D0A" w:rsidP="00D83934">
      <w:pPr>
        <w:pStyle w:val="Titre1"/>
        <w:numPr>
          <w:ilvl w:val="0"/>
          <w:numId w:val="0"/>
        </w:numPr>
        <w:pBdr>
          <w:left w:val="single" w:sz="4" w:space="4" w:color="auto"/>
        </w:pBdr>
        <w:spacing w:before="0" w:after="0"/>
      </w:pPr>
      <w:bookmarkStart w:id="0" w:name="_Toc199174802"/>
      <w:r>
        <w:t>En résumé</w:t>
      </w:r>
      <w:bookmarkEnd w:id="0"/>
    </w:p>
    <w:p w:rsidR="001C7D0A" w:rsidRDefault="001C7D0A" w:rsidP="00D83934">
      <w:pPr>
        <w:pBdr>
          <w:left w:val="single" w:sz="4" w:space="4" w:color="auto"/>
        </w:pBdr>
      </w:pPr>
      <w:r w:rsidRPr="00746F54">
        <w:t xml:space="preserve">Le projet Solar Map vise à créer une plateforme web territoriale (cadastre solaire) </w:t>
      </w:r>
      <w:r w:rsidR="0093642F">
        <w:t>à deux entrées : privé</w:t>
      </w:r>
      <w:r w:rsidR="0061413E">
        <w:t xml:space="preserve"> pour les administrations des villes et publique pour les citoyens et les entreprises </w:t>
      </w:r>
      <w:r w:rsidRPr="00746F54">
        <w:t xml:space="preserve">pour promouvoir l'énergie solaire auprès des citoyens et des entreprises à l'échelle intercommunale (EPCI). Vincennes est la ville pilote </w:t>
      </w:r>
      <w:r>
        <w:t>de cette expérimentation</w:t>
      </w:r>
      <w:r w:rsidRPr="00746F54">
        <w:t>.</w:t>
      </w:r>
    </w:p>
    <w:p w:rsidR="004021C4" w:rsidRPr="008A2AE6" w:rsidRDefault="004021C4" w:rsidP="00D83934">
      <w:pPr>
        <w:pBdr>
          <w:left w:val="single" w:sz="4" w:space="4" w:color="auto"/>
        </w:pBdr>
        <w:spacing w:after="0" w:line="240" w:lineRule="auto"/>
        <w:rPr>
          <w:rFonts w:cstheme="minorHAnsi"/>
        </w:rPr>
      </w:pPr>
      <w:r w:rsidRPr="008A2AE6">
        <w:rPr>
          <w:rFonts w:cstheme="minorHAnsi"/>
        </w:rPr>
        <w:t>Durée opérationnelle estimée</w:t>
      </w:r>
      <w:r>
        <w:rPr>
          <w:rFonts w:cstheme="minorHAnsi"/>
        </w:rPr>
        <w:t xml:space="preserve"> à </w:t>
      </w:r>
      <w:r w:rsidRPr="008A2AE6">
        <w:rPr>
          <w:rFonts w:cstheme="minorHAnsi"/>
        </w:rPr>
        <w:t>3 à 4 mois</w:t>
      </w:r>
      <w:r>
        <w:rPr>
          <w:rFonts w:cstheme="minorHAnsi"/>
        </w:rPr>
        <w:t> ; avec un l</w:t>
      </w:r>
      <w:r w:rsidRPr="008A2AE6">
        <w:rPr>
          <w:rFonts w:cstheme="minorHAnsi"/>
        </w:rPr>
        <w:t>ancement opérationnel</w:t>
      </w:r>
      <w:r>
        <w:rPr>
          <w:rFonts w:cstheme="minorHAnsi"/>
        </w:rPr>
        <w:t xml:space="preserve"> en </w:t>
      </w:r>
      <w:r w:rsidRPr="008A2AE6">
        <w:rPr>
          <w:rFonts w:cstheme="minorHAnsi"/>
        </w:rPr>
        <w:t xml:space="preserve">juin 2025 </w:t>
      </w:r>
      <w:r>
        <w:rPr>
          <w:rFonts w:cstheme="minorHAnsi"/>
        </w:rPr>
        <w:t>et un d</w:t>
      </w:r>
      <w:r w:rsidRPr="008A2AE6">
        <w:rPr>
          <w:rFonts w:cstheme="minorHAnsi"/>
        </w:rPr>
        <w:t xml:space="preserve">éploiement territorial </w:t>
      </w:r>
      <w:r>
        <w:rPr>
          <w:rFonts w:cstheme="minorHAnsi"/>
        </w:rPr>
        <w:t>entre</w:t>
      </w:r>
      <w:r w:rsidRPr="008A2AE6">
        <w:rPr>
          <w:rFonts w:cstheme="minorHAnsi"/>
        </w:rPr>
        <w:t xml:space="preserve"> septembre</w:t>
      </w:r>
      <w:r>
        <w:rPr>
          <w:rFonts w:cstheme="minorHAnsi"/>
        </w:rPr>
        <w:t xml:space="preserve"> et </w:t>
      </w:r>
      <w:r w:rsidRPr="008A2AE6">
        <w:rPr>
          <w:rFonts w:cstheme="minorHAnsi"/>
        </w:rPr>
        <w:t>octobre 2025</w:t>
      </w:r>
      <w:r>
        <w:rPr>
          <w:rFonts w:cstheme="minorHAnsi"/>
        </w:rPr>
        <w:t>.</w:t>
      </w:r>
      <w:r w:rsidR="0061413E">
        <w:rPr>
          <w:rFonts w:cstheme="minorHAnsi"/>
        </w:rPr>
        <w:t xml:space="preserve"> Puis une période de mise en place des innovations au fil du temps au sein de la plateforme jusqu’en septembre 2026. (Contrat de 18mois)</w:t>
      </w:r>
    </w:p>
    <w:p w:rsidR="004021C4" w:rsidRDefault="004021C4" w:rsidP="001C7D0A">
      <w:pPr>
        <w:spacing w:after="0"/>
      </w:pPr>
    </w:p>
    <w:p w:rsidR="001C7D0A" w:rsidRPr="001C3B8E" w:rsidRDefault="001C7D0A" w:rsidP="00CD2BE0">
      <w:pPr>
        <w:pStyle w:val="Titre1"/>
        <w:spacing w:after="0"/>
        <w:rPr>
          <w:sz w:val="36"/>
          <w:szCs w:val="32"/>
        </w:rPr>
      </w:pPr>
      <w:bookmarkStart w:id="1" w:name="_Toc199174803"/>
      <w:r>
        <w:t xml:space="preserve">Enjeux du projet </w:t>
      </w:r>
      <w:r w:rsidR="001C3B8E" w:rsidRPr="001C3B8E">
        <w:rPr>
          <w:b w:val="0"/>
          <w:bCs/>
          <w:caps w:val="0"/>
          <w:sz w:val="36"/>
          <w:szCs w:val="32"/>
        </w:rPr>
        <w:t>(en termes de coopération)</w:t>
      </w:r>
      <w:bookmarkEnd w:id="1"/>
    </w:p>
    <w:p w:rsidR="001C7D0A" w:rsidRDefault="001C7D0A" w:rsidP="001C7D0A">
      <w:pPr>
        <w:spacing w:after="0" w:line="240" w:lineRule="auto"/>
        <w:rPr>
          <w:rFonts w:cstheme="minorHAnsi"/>
        </w:rPr>
      </w:pPr>
      <w:r w:rsidRPr="008A2AE6">
        <w:rPr>
          <w:rFonts w:cstheme="minorHAnsi"/>
        </w:rPr>
        <w:t xml:space="preserve">Le projet proposé a pour objectif de </w:t>
      </w:r>
      <w:r w:rsidRPr="001C7D0A">
        <w:rPr>
          <w:rFonts w:cstheme="minorHAnsi"/>
          <w:b/>
          <w:bCs/>
        </w:rPr>
        <w:t xml:space="preserve">mettre à disposition des 13 communes du territoire un cadastre solaire </w:t>
      </w:r>
      <w:r w:rsidR="0061413E">
        <w:rPr>
          <w:rFonts w:cstheme="minorHAnsi"/>
          <w:b/>
          <w:bCs/>
        </w:rPr>
        <w:t xml:space="preserve">« nouvelle génération » </w:t>
      </w:r>
      <w:r w:rsidRPr="001C7D0A">
        <w:rPr>
          <w:rFonts w:cstheme="minorHAnsi"/>
          <w:b/>
          <w:bCs/>
        </w:rPr>
        <w:t>mutualisé</w:t>
      </w:r>
      <w:r w:rsidRPr="008A2AE6">
        <w:rPr>
          <w:rFonts w:cstheme="minorHAnsi"/>
        </w:rPr>
        <w:t xml:space="preserve">, afin de favoriser le développement des énergies renouvelables, notamment le solaire photovoltaïque et thermique, auprès des collectivités et des habitants. </w:t>
      </w:r>
    </w:p>
    <w:p w:rsidR="001C7D0A" w:rsidRDefault="001C7D0A" w:rsidP="001C7D0A">
      <w:pPr>
        <w:spacing w:line="240" w:lineRule="auto"/>
        <w:rPr>
          <w:rFonts w:cstheme="minorHAnsi"/>
        </w:rPr>
      </w:pPr>
      <w:r w:rsidRPr="008A2AE6">
        <w:rPr>
          <w:rFonts w:cstheme="minorHAnsi"/>
        </w:rPr>
        <w:t xml:space="preserve">Ce logiciel, déjà adopté par plus de 85 collectivités, couvre plus de 25 % de la population française, permettant ainsi à un Français sur quatre d’accéder à un cadastre solaire. </w:t>
      </w:r>
    </w:p>
    <w:p w:rsidR="001C7D0A" w:rsidRDefault="001C7D0A" w:rsidP="001C7D0A">
      <w:pPr>
        <w:spacing w:after="0" w:line="240" w:lineRule="auto"/>
        <w:rPr>
          <w:rFonts w:cstheme="minorHAnsi"/>
        </w:rPr>
      </w:pPr>
      <w:r w:rsidRPr="001C7D0A">
        <w:rPr>
          <w:rFonts w:cstheme="minorHAnsi"/>
          <w:b/>
          <w:bCs/>
        </w:rPr>
        <w:t>L’enjeu coopératif</w:t>
      </w:r>
      <w:r w:rsidRPr="008A2AE6">
        <w:rPr>
          <w:rFonts w:cstheme="minorHAnsi"/>
        </w:rPr>
        <w:t xml:space="preserve"> réside particulièrement dans la co-construction avec les villes pilotes, l</w:t>
      </w:r>
      <w:r w:rsidR="0061413E">
        <w:rPr>
          <w:rFonts w:cstheme="minorHAnsi"/>
        </w:rPr>
        <w:t>’étude des</w:t>
      </w:r>
      <w:r w:rsidRPr="008A2AE6">
        <w:rPr>
          <w:rFonts w:cstheme="minorHAnsi"/>
        </w:rPr>
        <w:t xml:space="preserve"> problématiques locales</w:t>
      </w:r>
      <w:r w:rsidR="0061413E">
        <w:rPr>
          <w:rFonts w:cstheme="minorHAnsi"/>
        </w:rPr>
        <w:t>, des cas d’usages et de la communication la plus adaptée pour la population et les agents des villes</w:t>
      </w:r>
      <w:r w:rsidRPr="008A2AE6">
        <w:rPr>
          <w:rFonts w:cstheme="minorHAnsi"/>
        </w:rPr>
        <w:t xml:space="preserve">, </w:t>
      </w:r>
      <w:r w:rsidR="0061413E">
        <w:rPr>
          <w:rFonts w:cstheme="minorHAnsi"/>
        </w:rPr>
        <w:t>ainsi qu’</w:t>
      </w:r>
      <w:r w:rsidRPr="008A2AE6">
        <w:rPr>
          <w:rFonts w:cstheme="minorHAnsi"/>
        </w:rPr>
        <w:t>une gouvernance partagée avec les différentes parties prenantes du territoire.</w:t>
      </w:r>
    </w:p>
    <w:p w:rsidR="00EE535F" w:rsidRPr="008A2AE6" w:rsidRDefault="00EE535F" w:rsidP="001C7D0A">
      <w:pPr>
        <w:spacing w:after="0" w:line="240" w:lineRule="auto"/>
        <w:rPr>
          <w:rFonts w:cstheme="minorHAnsi"/>
        </w:rPr>
      </w:pPr>
    </w:p>
    <w:p w:rsidR="00746F54" w:rsidRDefault="00746F54" w:rsidP="00CD2BE0">
      <w:pPr>
        <w:pStyle w:val="Titre1"/>
        <w:spacing w:after="0"/>
      </w:pPr>
      <w:bookmarkStart w:id="2" w:name="_Toc199174804"/>
      <w:r w:rsidRPr="00746F54">
        <w:t>Objectifs</w:t>
      </w:r>
      <w:bookmarkEnd w:id="2"/>
    </w:p>
    <w:p w:rsidR="001C3B8E" w:rsidRPr="001C3B8E" w:rsidRDefault="001C3B8E" w:rsidP="00132968">
      <w:pPr>
        <w:pStyle w:val="Titre2"/>
        <w:spacing w:before="0" w:after="0"/>
      </w:pPr>
      <w:bookmarkStart w:id="3" w:name="_Toc199174805"/>
      <w:r>
        <w:t>Stratégiques</w:t>
      </w:r>
      <w:bookmarkEnd w:id="3"/>
    </w:p>
    <w:p w:rsidR="00746F54" w:rsidRPr="00746F54" w:rsidRDefault="00746F54" w:rsidP="001C7D0A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746F54">
        <w:t>Déployer une plateforme</w:t>
      </w:r>
      <w:r w:rsidR="001C7D0A">
        <w:t xml:space="preserve"> de cadastre solaire</w:t>
      </w:r>
      <w:r w:rsidRPr="00746F54">
        <w:t xml:space="preserve"> innovante à l'échelle intercommunale.</w:t>
      </w:r>
    </w:p>
    <w:p w:rsidR="00746F54" w:rsidRPr="00746F54" w:rsidRDefault="00746F54" w:rsidP="001C7D0A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746F54">
        <w:t>Tester initialement sur Vincennes</w:t>
      </w:r>
      <w:r w:rsidR="001C7D0A">
        <w:t xml:space="preserve"> (ville pilote)</w:t>
      </w:r>
      <w:r w:rsidRPr="00746F54">
        <w:t>, puis étendre à d'autres communes.</w:t>
      </w:r>
    </w:p>
    <w:p w:rsidR="00746F54" w:rsidRPr="00746F54" w:rsidRDefault="00746F54" w:rsidP="001C7D0A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746F54">
        <w:t>Mobiliser activement les acteurs locaux (citoyens, entreprises, élus, services techniques).</w:t>
      </w:r>
    </w:p>
    <w:p w:rsidR="00746F54" w:rsidRDefault="00746F54" w:rsidP="001C7D0A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746F54">
        <w:t>Renforcer la visibilité et l'attractivité territoriale.</w:t>
      </w:r>
    </w:p>
    <w:p w:rsidR="001C3B8E" w:rsidRDefault="001C3B8E" w:rsidP="001C3B8E">
      <w:pPr>
        <w:spacing w:after="0"/>
      </w:pPr>
    </w:p>
    <w:p w:rsidR="001C3B8E" w:rsidRDefault="001C3B8E" w:rsidP="00132968">
      <w:pPr>
        <w:pStyle w:val="Titre2"/>
        <w:spacing w:before="0" w:after="0"/>
      </w:pPr>
      <w:bookmarkStart w:id="4" w:name="_Toc199174806"/>
      <w:r>
        <w:t>Opérationnels</w:t>
      </w:r>
      <w:bookmarkEnd w:id="4"/>
    </w:p>
    <w:p w:rsidR="001C3B8E" w:rsidRPr="001C3B8E" w:rsidRDefault="001C3B8E" w:rsidP="001C3B8E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1C3B8E">
        <w:t>Identifier précisément les problématiques locales prioritaires.</w:t>
      </w:r>
      <w:r w:rsidR="00E33294">
        <w:t xml:space="preserve"> (</w:t>
      </w:r>
      <w:proofErr w:type="gramStart"/>
      <w:r w:rsidR="00E33294">
        <w:t>bâtiments</w:t>
      </w:r>
      <w:proofErr w:type="gramEnd"/>
      <w:r w:rsidR="00E33294">
        <w:t xml:space="preserve"> patrimoniaux, zones réservées dans le PLUI …)</w:t>
      </w:r>
    </w:p>
    <w:p w:rsidR="001C3B8E" w:rsidRPr="001C3B8E" w:rsidRDefault="001C3B8E" w:rsidP="001C3B8E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1C3B8E">
        <w:t>Valider concrètement les fonctionnalités et les cas d'usages (données à mutualiser, outils de communication, simulateurs d’aides, contraintes urbanistiques…).</w:t>
      </w:r>
    </w:p>
    <w:p w:rsidR="001C3B8E" w:rsidRPr="001C3B8E" w:rsidRDefault="001C3B8E" w:rsidP="001C3B8E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1C3B8E">
        <w:t>Garantir une prise en main optimale par les agents et les citoyens grâce à un plan de communication adapté (vidéos, webinaire, kit de communication personnalisé).</w:t>
      </w:r>
    </w:p>
    <w:p w:rsidR="001C3B8E" w:rsidRDefault="001C3B8E" w:rsidP="001C3B8E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1C3B8E">
        <w:t>Assurer une gouvernance partagée et une transparence totale sur l'utilisation des données (RGPD, sécurisation des informations).</w:t>
      </w:r>
    </w:p>
    <w:p w:rsidR="00132968" w:rsidRDefault="00132968" w:rsidP="00132968">
      <w:pPr>
        <w:pStyle w:val="Paragraphedeliste"/>
        <w:spacing w:after="0"/>
        <w:ind w:left="284"/>
      </w:pPr>
    </w:p>
    <w:p w:rsidR="001C7D0A" w:rsidRDefault="001C7D0A" w:rsidP="001C7D0A">
      <w:pPr>
        <w:pStyle w:val="Titre1"/>
        <w:spacing w:after="0"/>
      </w:pPr>
      <w:bookmarkStart w:id="5" w:name="_Toc199174807"/>
      <w:r>
        <w:t>Opportunité</w:t>
      </w:r>
      <w:r w:rsidR="00467BAB">
        <w:t>s</w:t>
      </w:r>
      <w:r>
        <w:t xml:space="preserve"> stratégique</w:t>
      </w:r>
      <w:r w:rsidR="00467BAB">
        <w:t>s</w:t>
      </w:r>
      <w:r>
        <w:t xml:space="preserve"> de l’expérimentation</w:t>
      </w:r>
      <w:bookmarkEnd w:id="5"/>
    </w:p>
    <w:p w:rsidR="001C7D0A" w:rsidRPr="008A2AE6" w:rsidRDefault="001C7D0A" w:rsidP="001C7D0A">
      <w:pPr>
        <w:spacing w:after="0" w:line="240" w:lineRule="auto"/>
        <w:rPr>
          <w:rFonts w:cstheme="minorHAnsi"/>
        </w:rPr>
      </w:pPr>
      <w:r w:rsidRPr="008A2AE6">
        <w:rPr>
          <w:rFonts w:cstheme="minorHAnsi"/>
        </w:rPr>
        <w:t>Ce projet s'inscrit pleinement dans</w:t>
      </w:r>
      <w:r>
        <w:rPr>
          <w:rFonts w:cstheme="minorHAnsi"/>
        </w:rPr>
        <w:t> </w:t>
      </w:r>
      <w:r w:rsidRPr="008A2AE6">
        <w:rPr>
          <w:rFonts w:cstheme="minorHAnsi"/>
        </w:rPr>
        <w:t xml:space="preserve">les objectifs de la </w:t>
      </w:r>
      <w:r w:rsidRPr="001C7D0A">
        <w:rPr>
          <w:rFonts w:cstheme="minorHAnsi"/>
          <w:b/>
          <w:bCs/>
        </w:rPr>
        <w:t>stratégie nationale France 2030</w:t>
      </w:r>
      <w:r w:rsidRPr="008A2AE6">
        <w:rPr>
          <w:rFonts w:cstheme="minorHAnsi"/>
        </w:rPr>
        <w:t>, en cohérence avec l'</w:t>
      </w:r>
      <w:r w:rsidRPr="001C7D0A">
        <w:rPr>
          <w:rFonts w:cstheme="minorHAnsi"/>
          <w:b/>
          <w:bCs/>
        </w:rPr>
        <w:t>accord de Paris</w:t>
      </w:r>
      <w:r w:rsidRPr="008A2AE6">
        <w:rPr>
          <w:rFonts w:cstheme="minorHAnsi"/>
        </w:rPr>
        <w:t xml:space="preserve"> (objectif 1,5°C), la </w:t>
      </w:r>
      <w:r w:rsidRPr="001C7D0A">
        <w:rPr>
          <w:rFonts w:cstheme="minorHAnsi"/>
          <w:b/>
          <w:bCs/>
        </w:rPr>
        <w:t>Loi APER</w:t>
      </w:r>
      <w:r w:rsidRPr="008A2AE6">
        <w:rPr>
          <w:rFonts w:cstheme="minorHAnsi"/>
        </w:rPr>
        <w:t xml:space="preserve"> sur les zones d'accélération des énergies renouvelables, les </w:t>
      </w:r>
      <w:r w:rsidRPr="001C7D0A">
        <w:rPr>
          <w:rFonts w:cstheme="minorHAnsi"/>
          <w:b/>
          <w:bCs/>
        </w:rPr>
        <w:t>axes 3, 4 et 5 du PCAET</w:t>
      </w:r>
      <w:r w:rsidRPr="008A2AE6">
        <w:rPr>
          <w:rFonts w:cstheme="minorHAnsi"/>
        </w:rPr>
        <w:t xml:space="preserve"> territorial et la </w:t>
      </w:r>
      <w:r w:rsidRPr="001C7D0A">
        <w:rPr>
          <w:rFonts w:cstheme="minorHAnsi"/>
          <w:b/>
          <w:bCs/>
        </w:rPr>
        <w:t>politique de Territoire Durable et Innovant</w:t>
      </w:r>
      <w:r>
        <w:rPr>
          <w:rFonts w:cstheme="minorHAnsi"/>
        </w:rPr>
        <w:t xml:space="preserve"> </w:t>
      </w:r>
      <w:r w:rsidRPr="008A2AE6">
        <w:rPr>
          <w:rFonts w:cstheme="minorHAnsi"/>
        </w:rPr>
        <w:t>(TDI) définie par PEMB.</w:t>
      </w:r>
    </w:p>
    <w:p w:rsidR="001C3B8E" w:rsidRPr="001C3B8E" w:rsidRDefault="00467BAB" w:rsidP="001C3B8E">
      <w:pPr>
        <w:pStyle w:val="Titre1"/>
        <w:spacing w:after="0"/>
      </w:pPr>
      <w:bookmarkStart w:id="6" w:name="_Toc199174808"/>
      <w:r>
        <w:rPr>
          <w:caps w:val="0"/>
        </w:rPr>
        <w:t>C</w:t>
      </w:r>
      <w:r w:rsidRPr="001C3B8E">
        <w:rPr>
          <w:caps w:val="0"/>
        </w:rPr>
        <w:t>RÉATION DE VALEUR ATTENDUE / IMPACTS</w:t>
      </w:r>
      <w:bookmarkEnd w:id="6"/>
    </w:p>
    <w:p w:rsidR="001C3B8E" w:rsidRPr="001C3B8E" w:rsidRDefault="001C3B8E" w:rsidP="001C3B8E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1C3B8E">
        <w:t xml:space="preserve">Complémentarité avec l'Atlas territorial existant et possibilité d'enrichissement progressif (phase 3 : technologies avancées type panneaux souples, </w:t>
      </w:r>
      <w:proofErr w:type="spellStart"/>
      <w:r w:rsidRPr="001C3B8E">
        <w:t>Heliup</w:t>
      </w:r>
      <w:proofErr w:type="spellEnd"/>
      <w:r w:rsidRPr="001C3B8E">
        <w:t>…).</w:t>
      </w:r>
    </w:p>
    <w:p w:rsidR="001C3B8E" w:rsidRPr="001C3B8E" w:rsidRDefault="001C3B8E" w:rsidP="001C3B8E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1C3B8E">
        <w:t>Outil cartographique « open source » intuitif, permettant aux collectivités et à la population d'identifier précisément le potentiel solaire photovoltaïque et thermique</w:t>
      </w:r>
      <w:r w:rsidR="00CD57BB">
        <w:t xml:space="preserve"> de leur toiture</w:t>
      </w:r>
      <w:r w:rsidRPr="001C3B8E">
        <w:t>.</w:t>
      </w:r>
    </w:p>
    <w:p w:rsidR="001C3B8E" w:rsidRPr="001C3B8E" w:rsidRDefault="001C3B8E" w:rsidP="001C3B8E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1C3B8E">
        <w:t>Accès simplifié à un simulateur dynamique d’aides financières pour les utilisateurs (intégration ALEC MVE).</w:t>
      </w:r>
    </w:p>
    <w:p w:rsidR="001C3B8E" w:rsidRPr="001C3B8E" w:rsidRDefault="001C3B8E" w:rsidP="001C3B8E">
      <w:pPr>
        <w:pStyle w:val="Paragraphedeliste"/>
        <w:numPr>
          <w:ilvl w:val="0"/>
          <w:numId w:val="12"/>
        </w:numPr>
        <w:spacing w:after="0"/>
        <w:ind w:left="284" w:hanging="284"/>
      </w:pPr>
      <w:r w:rsidRPr="001C3B8E">
        <w:t>Valorisation territoriale accrue et accélération des projets d’énergies renouvelables à l’échelle intercommunale.</w:t>
      </w:r>
    </w:p>
    <w:p w:rsidR="001C3B8E" w:rsidRDefault="001C3B8E">
      <w:pPr>
        <w:rPr>
          <w:rFonts w:eastAsiaTheme="majorEastAsia" w:cstheme="majorBidi"/>
          <w:b/>
          <w:color w:val="595959" w:themeColor="text1" w:themeTint="A6"/>
          <w:sz w:val="40"/>
          <w:szCs w:val="40"/>
          <w:highlight w:val="lightGray"/>
        </w:rPr>
      </w:pPr>
    </w:p>
    <w:p w:rsidR="00746F54" w:rsidRPr="001C7D0A" w:rsidRDefault="00746F54" w:rsidP="001C7D0A">
      <w:pPr>
        <w:pStyle w:val="Titre1"/>
      </w:pPr>
      <w:bookmarkStart w:id="7" w:name="_Toc199174809"/>
      <w:r w:rsidRPr="001C7D0A">
        <w:t xml:space="preserve">Gouvernnce et </w:t>
      </w:r>
      <w:r w:rsidR="00CD2BE0" w:rsidRPr="001C7D0A">
        <w:t>a</w:t>
      </w:r>
      <w:r w:rsidRPr="001C7D0A">
        <w:t xml:space="preserve">cteurs </w:t>
      </w:r>
      <w:r w:rsidR="001C7D0A">
        <w:t>c</w:t>
      </w:r>
      <w:r w:rsidRPr="001C7D0A">
        <w:t>lés</w:t>
      </w:r>
      <w:bookmarkEnd w:id="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948"/>
      </w:tblGrid>
      <w:tr w:rsidR="00746F54" w:rsidRPr="00746F54" w:rsidTr="005E6DBD">
        <w:trPr>
          <w:trHeight w:val="300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746F54" w:rsidRPr="00746F54" w:rsidRDefault="00746F54" w:rsidP="00CD2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Acteur / Organisation</w:t>
            </w:r>
          </w:p>
        </w:tc>
        <w:tc>
          <w:tcPr>
            <w:tcW w:w="3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746F54" w:rsidRPr="00746F54" w:rsidRDefault="00746F54" w:rsidP="00CD2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Rôle et Responsabilités</w:t>
            </w:r>
          </w:p>
        </w:tc>
      </w:tr>
      <w:tr w:rsidR="005E6DBD" w:rsidRPr="00746F54" w:rsidTr="005E6DBD">
        <w:trPr>
          <w:trHeight w:val="300"/>
        </w:trPr>
        <w:tc>
          <w:tcPr>
            <w:tcW w:w="17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DBD" w:rsidRPr="00746F54" w:rsidRDefault="005E6DBD" w:rsidP="005E6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PEMB</w:t>
            </w:r>
          </w:p>
        </w:tc>
        <w:tc>
          <w:tcPr>
            <w:tcW w:w="3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DBD" w:rsidRPr="00746F54" w:rsidRDefault="005E6DBD" w:rsidP="005E6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Catalyseur d’innovation : impulsion, c</w:t>
            </w: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oordination générale et stratégique</w:t>
            </w:r>
          </w:p>
        </w:tc>
      </w:tr>
      <w:tr w:rsidR="005E6DBD" w:rsidRPr="00746F54" w:rsidTr="005E6DBD">
        <w:trPr>
          <w:trHeight w:val="300"/>
        </w:trPr>
        <w:tc>
          <w:tcPr>
            <w:tcW w:w="17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DBD" w:rsidRPr="00746F54" w:rsidRDefault="005E6DBD" w:rsidP="005E6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Vincennes</w:t>
            </w:r>
          </w:p>
        </w:tc>
        <w:tc>
          <w:tcPr>
            <w:tcW w:w="3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DBD" w:rsidRPr="00746F54" w:rsidRDefault="005E6DBD" w:rsidP="005E6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Ville pilote, tests et validation d’usage</w:t>
            </w:r>
          </w:p>
        </w:tc>
      </w:tr>
      <w:tr w:rsidR="00746F54" w:rsidRPr="00746F54" w:rsidTr="005E6DBD">
        <w:trPr>
          <w:trHeight w:val="300"/>
        </w:trPr>
        <w:tc>
          <w:tcPr>
            <w:tcW w:w="17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F54" w:rsidRPr="00746F54" w:rsidRDefault="00CD2BE0" w:rsidP="00CD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CYTHELIA</w:t>
            </w:r>
          </w:p>
        </w:tc>
        <w:tc>
          <w:tcPr>
            <w:tcW w:w="3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F54" w:rsidRPr="00746F54" w:rsidRDefault="00746F54" w:rsidP="00CD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Prestataire technique, conception et mise en œuvre</w:t>
            </w:r>
          </w:p>
        </w:tc>
      </w:tr>
      <w:tr w:rsidR="00746F54" w:rsidRPr="00746F54" w:rsidTr="005E6DBD">
        <w:trPr>
          <w:trHeight w:val="300"/>
        </w:trPr>
        <w:tc>
          <w:tcPr>
            <w:tcW w:w="17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F54" w:rsidRPr="00746F54" w:rsidRDefault="00746F54" w:rsidP="00CD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Direction Communication PEMB</w:t>
            </w:r>
          </w:p>
        </w:tc>
        <w:tc>
          <w:tcPr>
            <w:tcW w:w="3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F54" w:rsidRPr="00746F54" w:rsidRDefault="00746F54" w:rsidP="00CD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Co-conception</w:t>
            </w:r>
            <w:proofErr w:type="spellEnd"/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avec Vincennes du kit de communication</w:t>
            </w:r>
          </w:p>
        </w:tc>
      </w:tr>
      <w:tr w:rsidR="00746F54" w:rsidRPr="00746F54" w:rsidTr="005E6DBD">
        <w:trPr>
          <w:trHeight w:val="300"/>
        </w:trPr>
        <w:tc>
          <w:tcPr>
            <w:tcW w:w="17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F54" w:rsidRPr="00746F54" w:rsidRDefault="00746F54" w:rsidP="00CD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ALEC MVE</w:t>
            </w:r>
          </w:p>
        </w:tc>
        <w:tc>
          <w:tcPr>
            <w:tcW w:w="3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F54" w:rsidRPr="00746F54" w:rsidRDefault="00746F54" w:rsidP="00CD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Partenaire référent, informations sur les aides et dispositifs</w:t>
            </w:r>
          </w:p>
        </w:tc>
      </w:tr>
      <w:tr w:rsidR="00746F54" w:rsidRPr="00746F54" w:rsidTr="005E6DBD">
        <w:trPr>
          <w:trHeight w:val="300"/>
        </w:trPr>
        <w:tc>
          <w:tcPr>
            <w:tcW w:w="17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F54" w:rsidRPr="00746F54" w:rsidRDefault="00746F54" w:rsidP="00CD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Didier Alter (informatique PEMB)</w:t>
            </w:r>
          </w:p>
        </w:tc>
        <w:tc>
          <w:tcPr>
            <w:tcW w:w="3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F54" w:rsidRPr="00746F54" w:rsidRDefault="00746F54" w:rsidP="00CD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Gestion technique, hébergement web, données CEREMA/API Enedis</w:t>
            </w:r>
          </w:p>
        </w:tc>
      </w:tr>
      <w:tr w:rsidR="00746F54" w:rsidRPr="00746F54" w:rsidTr="005E6DBD">
        <w:trPr>
          <w:trHeight w:val="300"/>
        </w:trPr>
        <w:tc>
          <w:tcPr>
            <w:tcW w:w="17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F54" w:rsidRPr="00746F54" w:rsidRDefault="00746F54" w:rsidP="00CD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Autres communes</w:t>
            </w:r>
          </w:p>
        </w:tc>
        <w:tc>
          <w:tcPr>
            <w:tcW w:w="3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F54" w:rsidRPr="00746F54" w:rsidRDefault="00746F54" w:rsidP="00CD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46F5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Ateliers de test, relais communication, bénéficiaires futurs</w:t>
            </w:r>
          </w:p>
        </w:tc>
      </w:tr>
    </w:tbl>
    <w:p w:rsidR="001C3B8E" w:rsidRDefault="001C3B8E" w:rsidP="001C3B8E"/>
    <w:p w:rsidR="001C3B8E" w:rsidRPr="008A2AE6" w:rsidRDefault="001C3B8E" w:rsidP="001C3B8E">
      <w:pPr>
        <w:spacing w:after="0" w:line="240" w:lineRule="auto"/>
        <w:rPr>
          <w:rFonts w:cstheme="minorHAnsi"/>
        </w:rPr>
      </w:pPr>
      <w:r w:rsidRPr="00CD57BB">
        <w:rPr>
          <w:rFonts w:cstheme="minorHAnsi"/>
        </w:rPr>
        <w:t>- Aménagement et Urbanisme (validation des contraintes urbanistiques, PLUI)</w:t>
      </w:r>
      <w:r w:rsidR="00CD57BB" w:rsidRPr="00CD57BB">
        <w:rPr>
          <w:rFonts w:cstheme="minorHAnsi"/>
        </w:rPr>
        <w:t xml:space="preserve"> : La plateforme inclura un message de renvoi vers le service de l’urbanisme de la ville concernée pour toutes questions relatives </w:t>
      </w:r>
      <w:r w:rsidR="00CD57BB">
        <w:rPr>
          <w:rFonts w:cstheme="minorHAnsi"/>
        </w:rPr>
        <w:t>au PLUI (Plan Local d’Urbanisme Intercommunal)</w:t>
      </w:r>
    </w:p>
    <w:p w:rsidR="001C3B8E" w:rsidRDefault="001C3B8E" w:rsidP="001C3B8E"/>
    <w:p w:rsidR="001C3B8E" w:rsidRDefault="001C3B8E">
      <w:pPr>
        <w:rPr>
          <w:rFonts w:eastAsiaTheme="majorEastAsia" w:cstheme="majorBidi"/>
          <w:b/>
          <w:caps/>
          <w:color w:val="595959" w:themeColor="text1" w:themeTint="A6"/>
          <w:sz w:val="44"/>
          <w:szCs w:val="40"/>
        </w:rPr>
      </w:pPr>
      <w:r>
        <w:br w:type="page"/>
      </w:r>
    </w:p>
    <w:p w:rsidR="00746F54" w:rsidRDefault="00746F54" w:rsidP="00CD2BE0">
      <w:pPr>
        <w:pStyle w:val="Titre1"/>
        <w:spacing w:after="0"/>
      </w:pPr>
      <w:bookmarkStart w:id="8" w:name="_Toc199174810"/>
      <w:r w:rsidRPr="00746F54">
        <w:t xml:space="preserve">Calendrier détaillé </w:t>
      </w:r>
      <w:r w:rsidRPr="002F6342">
        <w:rPr>
          <w:b w:val="0"/>
          <w:bCs/>
        </w:rPr>
        <w:t>(2025-2026)</w:t>
      </w:r>
      <w:bookmarkEnd w:id="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3338"/>
        <w:gridCol w:w="1057"/>
        <w:gridCol w:w="3135"/>
      </w:tblGrid>
      <w:tr w:rsidR="001C7D0A" w:rsidRPr="00CE73BC" w:rsidTr="00127579">
        <w:trPr>
          <w:trHeight w:val="615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 w:themeFill="accent6" w:themeFillTint="99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Date</w:t>
            </w:r>
          </w:p>
        </w:tc>
        <w:tc>
          <w:tcPr>
            <w:tcW w:w="184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8D08D" w:themeFill="accent6" w:themeFillTint="99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Action / Étape prévue</w:t>
            </w:r>
          </w:p>
        </w:tc>
        <w:tc>
          <w:tcPr>
            <w:tcW w:w="5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8D08D" w:themeFill="accent6" w:themeFillTint="99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Statut</w:t>
            </w:r>
          </w:p>
        </w:tc>
        <w:tc>
          <w:tcPr>
            <w:tcW w:w="17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Responsables / Acteurs impliqués</w:t>
            </w:r>
          </w:p>
        </w:tc>
      </w:tr>
      <w:tr w:rsidR="002F6342" w:rsidRPr="00CE73BC" w:rsidTr="00127579">
        <w:trPr>
          <w:trHeight w:val="750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Début 2025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Présentation du projet à la Direction informatique PEMB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Réalisé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PEMB, Direction informatique</w:t>
            </w:r>
          </w:p>
        </w:tc>
      </w:tr>
      <w:tr w:rsidR="002F6342" w:rsidRPr="00CE73BC" w:rsidTr="00127579">
        <w:trPr>
          <w:trHeight w:val="750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Début 2025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Cadrage projet avec Benoit Lelong (Cythelia) et Direction Informatique PEMB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Réalisé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Benoit Lelong (Cythelia), PEMB</w:t>
            </w:r>
          </w:p>
        </w:tc>
      </w:tr>
      <w:tr w:rsidR="002F6342" w:rsidRPr="00CE73BC" w:rsidTr="00127579">
        <w:trPr>
          <w:trHeight w:val="375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mars</w:t>
            </w:r>
            <w:proofErr w:type="gramEnd"/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Signature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 : </w:t>
            </w: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marché d'innovation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Réalisé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PEMB, Cythelia</w:t>
            </w:r>
          </w:p>
        </w:tc>
      </w:tr>
      <w:tr w:rsidR="002F6342" w:rsidRPr="00CE73BC" w:rsidTr="00127579">
        <w:trPr>
          <w:trHeight w:val="375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avr</w:t>
            </w:r>
            <w:proofErr w:type="gramEnd"/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Obtention subvention IDLV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Réalisé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PEMB</w:t>
            </w:r>
          </w:p>
        </w:tc>
      </w:tr>
      <w:tr w:rsidR="002F6342" w:rsidRPr="00CE73BC" w:rsidTr="00127579">
        <w:trPr>
          <w:trHeight w:val="1125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Avril-Mai 2025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Présentation projet à Vincennes ("ville pilote") - Lucille Mauranne (DD Vincennes), Cécile </w:t>
            </w:r>
            <w:proofErr w:type="spellStart"/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Fénérole</w:t>
            </w:r>
            <w:proofErr w:type="spellEnd"/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(Cythelia)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Réalisé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Vincennes, Cythelia</w:t>
            </w:r>
          </w:p>
        </w:tc>
      </w:tr>
      <w:tr w:rsidR="00CE73BC" w:rsidRPr="00CE73BC" w:rsidTr="00127579">
        <w:trPr>
          <w:trHeight w:val="750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mai</w:t>
            </w:r>
            <w:proofErr w:type="gramEnd"/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Présentation et cadrage communication avec </w:t>
            </w:r>
            <w:proofErr w:type="spellStart"/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Sokhna</w:t>
            </w:r>
            <w:proofErr w:type="spellEnd"/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Wade (directrice Com PEMB)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Réalisé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F1DF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PEMB, </w:t>
            </w:r>
            <w:proofErr w:type="spellStart"/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Sokhna</w:t>
            </w:r>
            <w:proofErr w:type="spellEnd"/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Wade</w:t>
            </w:r>
          </w:p>
        </w:tc>
      </w:tr>
      <w:tr w:rsidR="002F6342" w:rsidRPr="00CE73BC" w:rsidTr="00127579">
        <w:trPr>
          <w:trHeight w:val="750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22-mai-25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Réunion communication opérationnelle (PEMB/Vincennes)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Réalisé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Olivier Touzeau, Lucille Mauranne (DD Vincennes), Direction communication PEMB</w:t>
            </w:r>
          </w:p>
        </w:tc>
      </w:tr>
      <w:tr w:rsidR="002F6342" w:rsidRPr="00CE73BC" w:rsidTr="00127579">
        <w:trPr>
          <w:trHeight w:val="750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03-juin-25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Réunion informatique (hébergement web, données CEREMA/API Enedis)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436FB9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Réalisé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Didier Alter (PEMB), Cythelia, Frédérique</w:t>
            </w:r>
          </w:p>
        </w:tc>
      </w:tr>
      <w:tr w:rsidR="002F6342" w:rsidRPr="00CE73BC" w:rsidTr="00127579">
        <w:trPr>
          <w:trHeight w:val="750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11-juin-25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Présentation aux ambassadeurs (communication, kit, outils)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436FB9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Réalisé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PEMB, Vincennes, Cythelia</w:t>
            </w:r>
          </w:p>
        </w:tc>
      </w:tr>
      <w:tr w:rsidR="008F46EB" w:rsidRPr="00CE73BC" w:rsidTr="00127579">
        <w:trPr>
          <w:trHeight w:val="375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</w:tcPr>
          <w:p w:rsidR="008F46EB" w:rsidRPr="00CE73BC" w:rsidRDefault="008F46EB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juin</w:t>
            </w:r>
            <w:proofErr w:type="gramEnd"/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</w:tcPr>
          <w:p w:rsidR="008F46EB" w:rsidRDefault="008F46EB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Réunion avec Alec MVE pour </w:t>
            </w:r>
          </w:p>
          <w:p w:rsidR="008F46EB" w:rsidRPr="00CE73BC" w:rsidRDefault="008F46EB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Compléter la page « pour aller plus loin</w:t>
            </w: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»(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contacts professionnels)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</w:tcPr>
          <w:p w:rsidR="008F46EB" w:rsidRPr="00CE73BC" w:rsidRDefault="008F46EB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Réalisé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8F46EB" w:rsidRPr="00CE73BC" w:rsidRDefault="008F46EB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PEMB, Cythelia</w:t>
            </w:r>
          </w:p>
        </w:tc>
      </w:tr>
      <w:tr w:rsidR="002F6342" w:rsidRPr="00CE73BC" w:rsidTr="00127579">
        <w:trPr>
          <w:trHeight w:val="375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26-juin-25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Présentation aux DGS (avec vidéo teaser)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436FB9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Réalisé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PEMB, Cythelia</w:t>
            </w:r>
          </w:p>
        </w:tc>
      </w:tr>
      <w:tr w:rsidR="00CE73BC" w:rsidRPr="00CE73BC" w:rsidTr="00127579">
        <w:trPr>
          <w:trHeight w:val="375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juil</w:t>
            </w:r>
            <w:proofErr w:type="gramEnd"/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Brève teaser dans les villes partenaires</w:t>
            </w:r>
            <w:r w:rsidR="00436F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« vidéo »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À venir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Villes partenaires, PEMB</w:t>
            </w:r>
          </w:p>
        </w:tc>
      </w:tr>
      <w:tr w:rsidR="00CE73BC" w:rsidRPr="00CE73BC" w:rsidTr="00127579">
        <w:trPr>
          <w:trHeight w:val="750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sept</w:t>
            </w:r>
            <w:proofErr w:type="gramEnd"/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Lancement public officiel (communiqué de presse, réseaux sociaux)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À venir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F1DF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PEMB, Vincennes</w:t>
            </w:r>
          </w:p>
        </w:tc>
      </w:tr>
      <w:tr w:rsidR="00CE73BC" w:rsidRPr="00CE73BC" w:rsidTr="00127579">
        <w:trPr>
          <w:trHeight w:val="750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oct</w:t>
            </w:r>
            <w:proofErr w:type="gramEnd"/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Diffusion dans les bulletins municipaux : plateforme en ligne, vidéo, annonce webinaire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À venir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3BC" w:rsidRPr="00CE73BC" w:rsidRDefault="00CE73BC" w:rsidP="00CD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Communes volontaires, PEMB, Vincennes</w:t>
            </w:r>
          </w:p>
        </w:tc>
      </w:tr>
      <w:tr w:rsidR="00127579" w:rsidRPr="00CE73BC" w:rsidTr="00127579">
        <w:trPr>
          <w:trHeight w:val="375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6F1DF"/>
            <w:vAlign w:val="center"/>
          </w:tcPr>
          <w:p w:rsidR="00127579" w:rsidRDefault="00127579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9-</w:t>
            </w: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Oct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</w:t>
            </w: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F1DF"/>
            <w:vAlign w:val="center"/>
          </w:tcPr>
          <w:p w:rsidR="00127579" w:rsidRPr="00CE73BC" w:rsidRDefault="00127579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Réunion </w:t>
            </w: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de formation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en présentiel pour les agents des villes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F1DF"/>
            <w:vAlign w:val="center"/>
          </w:tcPr>
          <w:p w:rsidR="00127579" w:rsidRPr="00CE73BC" w:rsidRDefault="00127579" w:rsidP="001275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A venir 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F1DF"/>
            <w:vAlign w:val="center"/>
          </w:tcPr>
          <w:p w:rsidR="00127579" w:rsidRPr="00CE73BC" w:rsidRDefault="00127579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Communes volontaires, PEMB,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Cythelia, ALEC MVE, Stéphane Bonnin (Habitat)</w:t>
            </w:r>
          </w:p>
        </w:tc>
      </w:tr>
      <w:tr w:rsidR="00127579" w:rsidRPr="00CE73BC" w:rsidTr="00127579">
        <w:trPr>
          <w:trHeight w:val="375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127579" w:rsidRPr="00CE73BC" w:rsidRDefault="00127579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16-</w:t>
            </w: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Oct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</w:t>
            </w: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127579" w:rsidRPr="00CE73BC" w:rsidRDefault="00127579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Webinaire de formation entreprises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127579" w:rsidRPr="00CE73BC" w:rsidRDefault="00127579" w:rsidP="001275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À venir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F1DF"/>
            <w:vAlign w:val="center"/>
            <w:hideMark/>
          </w:tcPr>
          <w:p w:rsidR="00127579" w:rsidRPr="00CE73BC" w:rsidRDefault="00127579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PEMB, Cythelia, ALEC MVE</w:t>
            </w:r>
            <w:r w:rsidR="00A56EC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, Laurence Fournel (PLUI)</w:t>
            </w:r>
          </w:p>
        </w:tc>
      </w:tr>
      <w:tr w:rsidR="00127579" w:rsidRPr="00CE73BC" w:rsidTr="00127579">
        <w:trPr>
          <w:trHeight w:val="375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27579" w:rsidRPr="00CE73BC" w:rsidRDefault="00127579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Fin 2025-Début 2026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27579" w:rsidRPr="00CE73BC" w:rsidRDefault="00127579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Ateliers participatifs et tests avec d'autres communes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27579" w:rsidRPr="00CE73BC" w:rsidRDefault="00127579" w:rsidP="001275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À organiser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579" w:rsidRPr="00CE73BC" w:rsidRDefault="00127579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PEMB, Vincennes, Communes intéressées</w:t>
            </w:r>
          </w:p>
        </w:tc>
      </w:tr>
      <w:tr w:rsidR="00127579" w:rsidRPr="00CE73BC" w:rsidTr="00127579">
        <w:trPr>
          <w:trHeight w:val="750"/>
        </w:trPr>
        <w:tc>
          <w:tcPr>
            <w:tcW w:w="8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127579" w:rsidRPr="00E673B4" w:rsidRDefault="00127579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4"/>
                <w:lang w:eastAsia="fr-FR"/>
                <w14:ligatures w14:val="none"/>
              </w:rPr>
            </w:pPr>
            <w:r w:rsidRPr="00E673B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Courant 2026</w:t>
            </w:r>
            <w:r w:rsidR="00E673B4" w:rsidRPr="00E673B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="00E673B4" w:rsidRPr="00E673B4">
              <w:rPr>
                <w:rFonts w:eastAsia="Times New Roman" w:cstheme="minorHAnsi"/>
                <w:color w:val="000000"/>
                <w:kern w:val="0"/>
                <w:sz w:val="20"/>
                <w:szCs w:val="24"/>
                <w:lang w:eastAsia="fr-FR"/>
                <w14:ligatures w14:val="none"/>
              </w:rPr>
              <w:t>(jusqu’à septembre)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127579" w:rsidRPr="00CE73BC" w:rsidRDefault="00A56EC0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Intégration des innovations au long court dans le </w:t>
            </w:r>
            <w:r w:rsidR="00127579"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cadastre solaire sur le territoire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6F1DF"/>
            <w:vAlign w:val="center"/>
            <w:hideMark/>
          </w:tcPr>
          <w:p w:rsidR="00127579" w:rsidRPr="00CE73BC" w:rsidRDefault="00127579" w:rsidP="001275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À organiser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F1DF"/>
            <w:vAlign w:val="center"/>
            <w:hideMark/>
          </w:tcPr>
          <w:p w:rsidR="00127579" w:rsidRPr="00CE73BC" w:rsidRDefault="00127579" w:rsidP="00127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73B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PEMB, Communes territoriales</w:t>
            </w:r>
          </w:p>
        </w:tc>
      </w:tr>
    </w:tbl>
    <w:p w:rsidR="001C3B8E" w:rsidRDefault="001C3B8E" w:rsidP="00CD2BE0">
      <w:pPr>
        <w:spacing w:after="0"/>
        <w:rPr>
          <w:b/>
          <w:bCs/>
        </w:rPr>
      </w:pPr>
    </w:p>
    <w:p w:rsidR="006C5163" w:rsidRPr="006C5163" w:rsidRDefault="006C5163" w:rsidP="00CD2BE0">
      <w:pPr>
        <w:spacing w:after="0"/>
        <w:rPr>
          <w:b/>
          <w:bCs/>
        </w:rPr>
      </w:pPr>
      <w:r w:rsidRPr="006C5163">
        <w:rPr>
          <w:b/>
          <w:bCs/>
        </w:rPr>
        <w:t>Points d'attention intégrés au nouveau chronogramme :</w:t>
      </w:r>
    </w:p>
    <w:p w:rsidR="006C5163" w:rsidRPr="006C5163" w:rsidRDefault="006C5163" w:rsidP="00CD2BE0">
      <w:pPr>
        <w:numPr>
          <w:ilvl w:val="0"/>
          <w:numId w:val="13"/>
        </w:numPr>
        <w:spacing w:after="0"/>
      </w:pPr>
      <w:r w:rsidRPr="006C5163">
        <w:rPr>
          <w:b/>
          <w:bCs/>
        </w:rPr>
        <w:t>Période électorale</w:t>
      </w:r>
      <w:r w:rsidRPr="006C5163">
        <w:t> : Communication progressive et adaptée en plusieurs phases (teaser en juillet, lancement précis en septembre après période sensible).</w:t>
      </w:r>
    </w:p>
    <w:p w:rsidR="006C5163" w:rsidRPr="006C5163" w:rsidRDefault="006C5163" w:rsidP="00CD2BE0">
      <w:pPr>
        <w:numPr>
          <w:ilvl w:val="0"/>
          <w:numId w:val="13"/>
        </w:numPr>
        <w:spacing w:after="0"/>
      </w:pPr>
      <w:r w:rsidRPr="006C5163">
        <w:rPr>
          <w:b/>
          <w:bCs/>
        </w:rPr>
        <w:t>Kit de communication</w:t>
      </w:r>
      <w:r w:rsidRPr="006C5163">
        <w:t xml:space="preserve"> : Mise à disposition dès le café des ambassadeurs du 11 juin, </w:t>
      </w:r>
      <w:r w:rsidR="009112FC">
        <w:t xml:space="preserve">avant l’été, </w:t>
      </w:r>
      <w:r w:rsidRPr="006C5163">
        <w:t>pour appropriation rapide par les autres villes.</w:t>
      </w:r>
    </w:p>
    <w:p w:rsidR="006C5163" w:rsidRPr="006C5163" w:rsidRDefault="006C5163" w:rsidP="00CD2BE0">
      <w:pPr>
        <w:numPr>
          <w:ilvl w:val="0"/>
          <w:numId w:val="13"/>
        </w:numPr>
        <w:spacing w:after="0"/>
      </w:pPr>
      <w:r w:rsidRPr="006C5163">
        <w:rPr>
          <w:b/>
          <w:bCs/>
        </w:rPr>
        <w:t>Formation et sensibilisation</w:t>
      </w:r>
      <w:r w:rsidRPr="006C5163">
        <w:t> : Webinaire prévu en octobre pour accompagner la prise en main par les citoyens et les entreprises.</w:t>
      </w:r>
      <w:r w:rsidR="009112FC">
        <w:t xml:space="preserve"> Formation des agents </w:t>
      </w:r>
      <w:proofErr w:type="spellStart"/>
      <w:proofErr w:type="gramStart"/>
      <w:r w:rsidR="009112FC">
        <w:t>a</w:t>
      </w:r>
      <w:proofErr w:type="spellEnd"/>
      <w:proofErr w:type="gramEnd"/>
      <w:r w:rsidR="009112FC">
        <w:t xml:space="preserve"> prévoir. </w:t>
      </w:r>
    </w:p>
    <w:p w:rsidR="006C5163" w:rsidRDefault="006C5163" w:rsidP="00CD2BE0">
      <w:pPr>
        <w:spacing w:after="0"/>
      </w:pPr>
    </w:p>
    <w:p w:rsidR="00746F54" w:rsidRPr="00746F54" w:rsidRDefault="00746F54" w:rsidP="00CD2BE0">
      <w:pPr>
        <w:pStyle w:val="Titre1"/>
        <w:spacing w:after="0"/>
      </w:pPr>
      <w:bookmarkStart w:id="9" w:name="_Toc199174811"/>
      <w:r w:rsidRPr="00746F54">
        <w:t>Communication et Outils Associés</w:t>
      </w:r>
      <w:bookmarkEnd w:id="9"/>
    </w:p>
    <w:p w:rsidR="00746F54" w:rsidRPr="00746F54" w:rsidRDefault="00746F54" w:rsidP="00CD2BE0">
      <w:pPr>
        <w:numPr>
          <w:ilvl w:val="0"/>
          <w:numId w:val="6"/>
        </w:numPr>
        <w:spacing w:after="0"/>
      </w:pPr>
      <w:r w:rsidRPr="00746F54">
        <w:t xml:space="preserve">Vidéo teaser personnalisable (fournie par </w:t>
      </w:r>
      <w:r w:rsidR="00CD2BE0">
        <w:t>CYTHELIA</w:t>
      </w:r>
      <w:r w:rsidRPr="00746F54">
        <w:t>, adaptation aux couleurs PEMB).</w:t>
      </w:r>
    </w:p>
    <w:p w:rsidR="00746F54" w:rsidRPr="00746F54" w:rsidRDefault="00746F54" w:rsidP="00CD2BE0">
      <w:pPr>
        <w:numPr>
          <w:ilvl w:val="0"/>
          <w:numId w:val="6"/>
        </w:numPr>
        <w:spacing w:after="0"/>
      </w:pPr>
      <w:r w:rsidRPr="00746F54">
        <w:t xml:space="preserve">Kit de communication </w:t>
      </w:r>
      <w:proofErr w:type="spellStart"/>
      <w:r w:rsidRPr="00746F54">
        <w:t>co-construit</w:t>
      </w:r>
      <w:proofErr w:type="spellEnd"/>
      <w:r w:rsidRPr="00746F54">
        <w:t xml:space="preserve"> PEMB/Vincennes (réseaux sociaux, presse spécialisée, bulletins municipaux).</w:t>
      </w:r>
    </w:p>
    <w:p w:rsidR="00746F54" w:rsidRDefault="00746F54" w:rsidP="00CD2BE0">
      <w:pPr>
        <w:numPr>
          <w:ilvl w:val="0"/>
          <w:numId w:val="6"/>
        </w:numPr>
        <w:spacing w:after="0"/>
      </w:pPr>
      <w:r w:rsidRPr="00746F54">
        <w:t>Webinaire de formation grand public et professionnel</w:t>
      </w:r>
      <w:r w:rsidR="0052321F">
        <w:t xml:space="preserve">, et agents des </w:t>
      </w:r>
      <w:r w:rsidR="00F344C3">
        <w:t>administrations</w:t>
      </w:r>
      <w:r w:rsidR="0052321F">
        <w:t xml:space="preserve"> des villes</w:t>
      </w:r>
      <w:r w:rsidRPr="00746F54">
        <w:t>.</w:t>
      </w:r>
    </w:p>
    <w:p w:rsidR="00961CF6" w:rsidRPr="00746F54" w:rsidRDefault="00961CF6" w:rsidP="00961CF6">
      <w:pPr>
        <w:spacing w:after="0"/>
        <w:ind w:left="720"/>
      </w:pPr>
    </w:p>
    <w:p w:rsidR="00746F54" w:rsidRPr="00746F54" w:rsidRDefault="00746F54" w:rsidP="00CD2BE0">
      <w:pPr>
        <w:pStyle w:val="Titre1"/>
        <w:spacing w:after="0"/>
      </w:pPr>
      <w:bookmarkStart w:id="10" w:name="_Toc199174812"/>
      <w:r w:rsidRPr="00746F54">
        <w:t>Éléments Techniques et Données</w:t>
      </w:r>
      <w:bookmarkEnd w:id="10"/>
    </w:p>
    <w:p w:rsidR="00746F54" w:rsidRPr="00746F54" w:rsidRDefault="00746F54" w:rsidP="00CD2BE0">
      <w:pPr>
        <w:numPr>
          <w:ilvl w:val="0"/>
          <w:numId w:val="7"/>
        </w:numPr>
        <w:spacing w:after="0"/>
      </w:pPr>
      <w:r w:rsidRPr="00746F54">
        <w:t xml:space="preserve">Hébergement plateforme web par PEMB (gestion Didier </w:t>
      </w:r>
      <w:r w:rsidR="00127FFB">
        <w:t>Ha</w:t>
      </w:r>
      <w:r w:rsidRPr="00746F54">
        <w:t>lter, à préciser le 3 juin).</w:t>
      </w:r>
    </w:p>
    <w:p w:rsidR="00746F54" w:rsidRDefault="00746F54" w:rsidP="00CD2BE0">
      <w:pPr>
        <w:numPr>
          <w:ilvl w:val="0"/>
          <w:numId w:val="7"/>
        </w:numPr>
        <w:spacing w:after="0"/>
      </w:pPr>
      <w:r w:rsidRPr="00746F54">
        <w:t>Accès à des données spécifiques via CEREMA et API Enedis (simulation économique).</w:t>
      </w:r>
    </w:p>
    <w:p w:rsidR="00127FFB" w:rsidRPr="00746F54" w:rsidRDefault="00127FFB" w:rsidP="00CD2BE0">
      <w:pPr>
        <w:numPr>
          <w:ilvl w:val="0"/>
          <w:numId w:val="7"/>
        </w:numPr>
        <w:spacing w:after="0"/>
      </w:pPr>
      <w:r>
        <w:t xml:space="preserve">Création d’une page TDI sur le site de PEMB dans la rubrique PCAET avec une fiche Solar Map : vidéo, mode d’emploi, /tuto, plateforme, récit) </w:t>
      </w:r>
    </w:p>
    <w:p w:rsidR="00746F54" w:rsidRDefault="00746F54" w:rsidP="00CD2BE0">
      <w:pPr>
        <w:numPr>
          <w:ilvl w:val="0"/>
          <w:numId w:val="7"/>
        </w:numPr>
        <w:spacing w:after="0"/>
      </w:pPr>
      <w:r w:rsidRPr="00746F54">
        <w:t>RGPD respecté : aucune donnée conservée par la plateforme.</w:t>
      </w:r>
    </w:p>
    <w:p w:rsidR="00961CF6" w:rsidRPr="00746F54" w:rsidRDefault="00961CF6" w:rsidP="00961CF6">
      <w:pPr>
        <w:spacing w:after="0"/>
        <w:ind w:left="720"/>
      </w:pPr>
    </w:p>
    <w:p w:rsidR="00746F54" w:rsidRPr="00746F54" w:rsidRDefault="00746F54" w:rsidP="00CD2BE0">
      <w:pPr>
        <w:pStyle w:val="Titre1"/>
        <w:spacing w:after="0"/>
      </w:pPr>
      <w:bookmarkStart w:id="11" w:name="_Toc199174813"/>
      <w:r w:rsidRPr="00746F54">
        <w:t>Conditions de Réussite Complémentaires identifiées</w:t>
      </w:r>
      <w:bookmarkEnd w:id="11"/>
    </w:p>
    <w:p w:rsidR="00CD2BE0" w:rsidRDefault="00746F54" w:rsidP="00031474">
      <w:pPr>
        <w:numPr>
          <w:ilvl w:val="0"/>
          <w:numId w:val="8"/>
        </w:numPr>
        <w:spacing w:after="0"/>
      </w:pPr>
      <w:r w:rsidRPr="00746F54">
        <w:t>Clarification rapide sur l'hébergement technique et le lien unique ou multiple vers la plateforme depuis les sites des communes.</w:t>
      </w:r>
    </w:p>
    <w:p w:rsidR="00746F54" w:rsidRPr="00746F54" w:rsidRDefault="00746F54" w:rsidP="00031474">
      <w:pPr>
        <w:numPr>
          <w:ilvl w:val="0"/>
          <w:numId w:val="8"/>
        </w:numPr>
        <w:spacing w:after="0"/>
      </w:pPr>
      <w:r w:rsidRPr="00746F54">
        <w:t>Validation de la stratégie de diffusion auprès des DGS pour éviter les incompréhensions au moment du lancement officiel.</w:t>
      </w:r>
    </w:p>
    <w:p w:rsidR="00746F54" w:rsidRDefault="00746F54" w:rsidP="00CD2BE0">
      <w:pPr>
        <w:numPr>
          <w:ilvl w:val="0"/>
          <w:numId w:val="8"/>
        </w:numPr>
        <w:spacing w:after="0"/>
      </w:pPr>
      <w:r w:rsidRPr="00746F54">
        <w:t>Définition claire des rôles internes dans chaque commune pour l'utilisation et le suivi de l'outil.</w:t>
      </w:r>
    </w:p>
    <w:p w:rsidR="00961CF6" w:rsidRPr="00746F54" w:rsidRDefault="00961CF6" w:rsidP="00961CF6">
      <w:pPr>
        <w:spacing w:after="0"/>
        <w:ind w:left="720"/>
      </w:pPr>
    </w:p>
    <w:p w:rsidR="00746F54" w:rsidRPr="00746F54" w:rsidRDefault="00746F54" w:rsidP="00CD2BE0">
      <w:pPr>
        <w:pStyle w:val="Titre1"/>
        <w:spacing w:after="0"/>
      </w:pPr>
      <w:bookmarkStart w:id="12" w:name="_Toc199174814"/>
      <w:r w:rsidRPr="00746F54">
        <w:t>Points d’attention identifiés</w:t>
      </w:r>
      <w:bookmarkEnd w:id="12"/>
      <w:r w:rsidRPr="00746F54">
        <w:t xml:space="preserve"> </w:t>
      </w:r>
    </w:p>
    <w:p w:rsidR="00746F54" w:rsidRPr="00746F54" w:rsidRDefault="00746F54" w:rsidP="00CD2BE0">
      <w:pPr>
        <w:numPr>
          <w:ilvl w:val="0"/>
          <w:numId w:val="9"/>
        </w:numPr>
        <w:spacing w:after="0"/>
      </w:pPr>
      <w:r w:rsidRPr="00746F54">
        <w:t>Nécessité d'une stratégie de communication interne renforcée pour éviter les surprises et assurer une bonne appropriation par les élus et services municipaux.</w:t>
      </w:r>
    </w:p>
    <w:p w:rsidR="00746F54" w:rsidRPr="00746F54" w:rsidRDefault="00746F54" w:rsidP="00CD2BE0">
      <w:pPr>
        <w:numPr>
          <w:ilvl w:val="0"/>
          <w:numId w:val="9"/>
        </w:numPr>
        <w:spacing w:after="0"/>
      </w:pPr>
      <w:r w:rsidRPr="00746F54">
        <w:t>Mise en place d'une communication progressive pour éviter les périodes électorales sensibles (calendrier stratégique validé).</w:t>
      </w:r>
    </w:p>
    <w:p w:rsidR="00746F54" w:rsidRPr="00746F54" w:rsidRDefault="00746F54" w:rsidP="00CD2BE0">
      <w:pPr>
        <w:numPr>
          <w:ilvl w:val="0"/>
          <w:numId w:val="9"/>
        </w:numPr>
        <w:spacing w:after="0"/>
      </w:pPr>
      <w:r w:rsidRPr="00746F54">
        <w:t>Attention particulière à la gestion des aides financières : proposition d'un simulateur intégré sur la plateforme pour offrir un service à forte valeur ajoutée aux utilisateurs.</w:t>
      </w:r>
    </w:p>
    <w:p w:rsidR="00746F54" w:rsidRPr="00746F54" w:rsidRDefault="00746F54" w:rsidP="00CD2BE0">
      <w:pPr>
        <w:numPr>
          <w:ilvl w:val="0"/>
          <w:numId w:val="9"/>
        </w:numPr>
        <w:spacing w:after="0"/>
      </w:pPr>
      <w:r w:rsidRPr="00746F54">
        <w:t>Prévoir des informations spécifiques sur les contraintes urbanistiques (PLUI, sauvegarde du patrimoine) et renvoi vers les services urbanisme.</w:t>
      </w:r>
    </w:p>
    <w:p w:rsidR="00746F54" w:rsidRPr="00746F54" w:rsidRDefault="00746F54" w:rsidP="00ED3F7D">
      <w:pPr>
        <w:pStyle w:val="Titre1"/>
        <w:spacing w:after="0"/>
        <w:ind w:left="1134" w:hanging="850"/>
      </w:pPr>
      <w:bookmarkStart w:id="13" w:name="_Toc199174815"/>
      <w:r w:rsidRPr="00746F54">
        <w:t>Recommandations stratégiques enrichies</w:t>
      </w:r>
      <w:bookmarkEnd w:id="13"/>
    </w:p>
    <w:p w:rsidR="00746F54" w:rsidRPr="00746F54" w:rsidRDefault="00746F54" w:rsidP="00CD2BE0">
      <w:pPr>
        <w:numPr>
          <w:ilvl w:val="0"/>
          <w:numId w:val="10"/>
        </w:numPr>
        <w:spacing w:after="0"/>
      </w:pPr>
      <w:r w:rsidRPr="00746F54">
        <w:t xml:space="preserve">Maintenir une coordination rapprochée avec </w:t>
      </w:r>
      <w:r w:rsidR="00CD2BE0">
        <w:t>CYTHELIA</w:t>
      </w:r>
      <w:r w:rsidRPr="00746F54">
        <w:t xml:space="preserve"> et Vincennes pour assurer cohérence et fluidité d'action.</w:t>
      </w:r>
    </w:p>
    <w:p w:rsidR="00746F54" w:rsidRPr="00746F54" w:rsidRDefault="00746F54" w:rsidP="00CD2BE0">
      <w:pPr>
        <w:numPr>
          <w:ilvl w:val="0"/>
          <w:numId w:val="10"/>
        </w:numPr>
        <w:spacing w:after="0"/>
      </w:pPr>
      <w:r w:rsidRPr="00746F54">
        <w:t xml:space="preserve">Prévoir des points réguliers avec les services techniques </w:t>
      </w:r>
      <w:r w:rsidR="009064BC">
        <w:t xml:space="preserve">et la DSI </w:t>
      </w:r>
      <w:r w:rsidRPr="00746F54">
        <w:t>pour clarifier les aspects techniques (hébergement, données</w:t>
      </w:r>
      <w:r w:rsidR="009064BC">
        <w:t xml:space="preserve"> SIG</w:t>
      </w:r>
      <w:r w:rsidRPr="00746F54">
        <w:t>, API</w:t>
      </w:r>
      <w:r w:rsidR="009064BC">
        <w:t>, CEREMA</w:t>
      </w:r>
      <w:r w:rsidRPr="00746F54">
        <w:t>).</w:t>
      </w:r>
    </w:p>
    <w:p w:rsidR="00746F54" w:rsidRPr="00746F54" w:rsidRDefault="00746F54" w:rsidP="00CD2BE0">
      <w:pPr>
        <w:numPr>
          <w:ilvl w:val="0"/>
          <w:numId w:val="10"/>
        </w:numPr>
        <w:spacing w:after="0"/>
      </w:pPr>
      <w:r w:rsidRPr="00746F54">
        <w:t>Intégrer l'ALEC MVE dans la conception des outils d'accompagnement financier (simulateur d'aides).</w:t>
      </w:r>
    </w:p>
    <w:p w:rsidR="00746F54" w:rsidRDefault="00746F54" w:rsidP="00CD2BE0">
      <w:pPr>
        <w:numPr>
          <w:ilvl w:val="0"/>
          <w:numId w:val="10"/>
        </w:numPr>
        <w:spacing w:after="0"/>
      </w:pPr>
      <w:r w:rsidRPr="00746F54">
        <w:t>Développer une communication attractive et pédagogique (vidéo teaser, réseaux sociaux, webinaire) pour mobiliser efficacement les différents publics cibles.</w:t>
      </w:r>
    </w:p>
    <w:p w:rsidR="00961CF6" w:rsidRPr="00746F54" w:rsidRDefault="00961CF6" w:rsidP="00961CF6">
      <w:pPr>
        <w:spacing w:after="0"/>
        <w:ind w:left="720"/>
      </w:pPr>
    </w:p>
    <w:p w:rsidR="00746F54" w:rsidRPr="00746F54" w:rsidRDefault="00746F54" w:rsidP="00ED3F7D">
      <w:pPr>
        <w:pStyle w:val="Titre1"/>
        <w:spacing w:after="0"/>
        <w:ind w:left="1276" w:hanging="992"/>
      </w:pPr>
      <w:r w:rsidRPr="00746F54">
        <w:t>S</w:t>
      </w:r>
      <w:bookmarkStart w:id="14" w:name="_Toc199174816"/>
      <w:r w:rsidRPr="00746F54">
        <w:t>ynergies et valorisation externe</w:t>
      </w:r>
      <w:bookmarkEnd w:id="14"/>
    </w:p>
    <w:p w:rsidR="00746F54" w:rsidRPr="00746F54" w:rsidRDefault="00746F54" w:rsidP="00CD2BE0">
      <w:pPr>
        <w:numPr>
          <w:ilvl w:val="0"/>
          <w:numId w:val="11"/>
        </w:numPr>
        <w:spacing w:after="0"/>
      </w:pPr>
      <w:r w:rsidRPr="00746F54">
        <w:t xml:space="preserve">Opportunité d'une valorisation internationale (ex : Salon Smart City de Barcelone). Proposition d'y associer </w:t>
      </w:r>
      <w:r w:rsidR="00CD2BE0">
        <w:t>CYTHELIA</w:t>
      </w:r>
      <w:r w:rsidRPr="00746F54">
        <w:t xml:space="preserve"> et Vincennes pour renforcer la notoriété du projet.</w:t>
      </w:r>
    </w:p>
    <w:p w:rsidR="00746F54" w:rsidRDefault="00746F54" w:rsidP="00CD2BE0">
      <w:pPr>
        <w:spacing w:after="0"/>
      </w:pPr>
    </w:p>
    <w:p w:rsidR="00940EBE" w:rsidRDefault="00940EBE" w:rsidP="00CD2BE0">
      <w:pPr>
        <w:spacing w:after="0"/>
      </w:pPr>
    </w:p>
    <w:p w:rsidR="001C0B5E" w:rsidRDefault="001C0B5E" w:rsidP="00CD2BE0">
      <w:pPr>
        <w:spacing w:after="0"/>
        <w:rPr>
          <w:i/>
          <w:iCs/>
          <w:color w:val="2F5496" w:themeColor="accent1" w:themeShade="BF"/>
        </w:rPr>
      </w:pPr>
      <w:r>
        <w:br w:type="page"/>
      </w:r>
    </w:p>
    <w:p w:rsidR="00940EBE" w:rsidRPr="00EE535F" w:rsidRDefault="00EE535F" w:rsidP="00CD2BE0">
      <w:pPr>
        <w:pStyle w:val="Citationintense"/>
        <w:spacing w:after="0"/>
        <w:rPr>
          <w:b/>
          <w:bCs/>
        </w:rPr>
      </w:pPr>
      <w:r w:rsidRPr="00EE535F">
        <w:rPr>
          <w:b/>
          <w:bCs/>
        </w:rPr>
        <w:t xml:space="preserve">ANNEXES : </w:t>
      </w:r>
    </w:p>
    <w:p w:rsidR="00EE535F" w:rsidRDefault="00EE535F" w:rsidP="00CD6030"/>
    <w:p w:rsidR="00CD6030" w:rsidRDefault="00CD6030" w:rsidP="00CD6030">
      <w:pPr>
        <w:pStyle w:val="Sous-titre"/>
      </w:pPr>
      <w:r>
        <w:t>#1 : Principe d’une Expérimentation TDI</w:t>
      </w: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>Une expérimentation répond à un besoin du PCAET.</w:t>
      </w: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>Elle teste des produits ou services avec un engagement à durée limitée sur un terrain d’expérimentation identifié par les parties prenantes.</w:t>
      </w: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>Une expérimentation est une forme spécifique de commande publique, une expérience de collaboration en co-responsabilité, impliquant un dialogue entre la collectivité, PEMB et l’entreprise.</w:t>
      </w: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>Pour se faire, PEMB s’appuiera sur son réseau d’ambassadeurs du PCAET.</w:t>
      </w:r>
    </w:p>
    <w:p w:rsidR="00CD6030" w:rsidRPr="00CD6030" w:rsidRDefault="00CD6030" w:rsidP="00CD6030">
      <w:pPr>
        <w:spacing w:after="0" w:line="240" w:lineRule="auto"/>
        <w:rPr>
          <w:sz w:val="16"/>
          <w:szCs w:val="16"/>
        </w:rPr>
      </w:pPr>
    </w:p>
    <w:p w:rsidR="00CD6030" w:rsidRPr="00CD6030" w:rsidRDefault="00CD6030" w:rsidP="00CD6030">
      <w:pPr>
        <w:spacing w:after="0" w:line="240" w:lineRule="auto"/>
        <w:rPr>
          <w:sz w:val="16"/>
          <w:szCs w:val="16"/>
        </w:rPr>
      </w:pP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Sur le plan p</w:t>
      </w:r>
      <w:r w:rsidRPr="00CD6030">
        <w:rPr>
          <w:b/>
          <w:bCs/>
          <w:sz w:val="20"/>
          <w:szCs w:val="20"/>
        </w:rPr>
        <w:t>olitique</w:t>
      </w:r>
    </w:p>
    <w:p w:rsidR="00CD6030" w:rsidRPr="00CD6030" w:rsidRDefault="00CD6030" w:rsidP="00CD6030">
      <w:pPr>
        <w:spacing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 xml:space="preserve">L'expérimentation est un levier de politique publique permettant à une collectivité de répondre aux besoins spécifiques de son territoire tout en favorisant la collaboration avec le secteur privé de préférence issu de l’écosystème local et en limitant les risques. </w:t>
      </w:r>
    </w:p>
    <w:p w:rsidR="00CD6030" w:rsidRPr="00CD6030" w:rsidRDefault="00CD6030" w:rsidP="00CD6030">
      <w:pPr>
        <w:spacing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 xml:space="preserve">Elle s'inscrit dans une démarche de transition vers des solutions innovantes qui, une fois validées, peuvent être pérennisées et déployées à plus grande échelle. </w:t>
      </w: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>Il s'agit d'une première étape permettant de tester des approches nouvelles et acceptables pour les citoyens, et d'accélérer les transitions territoriales tout en consolidant la légitimité des autorités locales.</w:t>
      </w:r>
    </w:p>
    <w:p w:rsidR="00CD6030" w:rsidRPr="00CD6030" w:rsidRDefault="00CD6030" w:rsidP="00CD6030">
      <w:pPr>
        <w:spacing w:after="0" w:line="240" w:lineRule="auto"/>
        <w:rPr>
          <w:sz w:val="16"/>
          <w:szCs w:val="16"/>
        </w:rPr>
      </w:pPr>
    </w:p>
    <w:p w:rsidR="00CD6030" w:rsidRPr="00CD6030" w:rsidRDefault="00CD6030" w:rsidP="00CD6030">
      <w:pPr>
        <w:spacing w:after="0" w:line="240" w:lineRule="auto"/>
        <w:rPr>
          <w:sz w:val="16"/>
          <w:szCs w:val="16"/>
        </w:rPr>
      </w:pP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Sur le plan s</w:t>
      </w:r>
      <w:r w:rsidRPr="00CD6030">
        <w:rPr>
          <w:b/>
          <w:bCs/>
          <w:sz w:val="20"/>
          <w:szCs w:val="20"/>
        </w:rPr>
        <w:t>tratégique</w:t>
      </w:r>
    </w:p>
    <w:p w:rsidR="00CD6030" w:rsidRPr="00CD6030" w:rsidRDefault="00CD6030" w:rsidP="00CD6030">
      <w:pPr>
        <w:spacing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 xml:space="preserve">Sur le plan stratégique, l’expérimentation est une démarche structurée permettant de tester et d’évaluer des solutions innovantes proposées par des entreprises pour répondre aux besoins spécifiques des collectivités territoriales. </w:t>
      </w:r>
    </w:p>
    <w:p w:rsidR="00CD6030" w:rsidRPr="00CD6030" w:rsidRDefault="00CD6030" w:rsidP="00CD6030">
      <w:pPr>
        <w:spacing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 xml:space="preserve">Elle vise à établir une relation de confiance et d’interconnaissance entre l'entreprise et la collectivité, facilitant ainsi de futurs partenariats. </w:t>
      </w: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>Tout en permettant l'amélioration continue des offres, grâce à un cadre juridique flexible, l’expérimentation constitue un levier essentiel pour préparer de futurs marchés et faciliter la contractualisation pérenne avec des solutions qui apportent une réelle valeur ajoutée au territoire (services à la population et développement économique des entreprises parties prenantes des expérimentation).</w:t>
      </w:r>
    </w:p>
    <w:p w:rsidR="00CD6030" w:rsidRPr="00CD6030" w:rsidRDefault="00CD6030" w:rsidP="00CD6030">
      <w:pPr>
        <w:spacing w:after="0" w:line="240" w:lineRule="auto"/>
        <w:rPr>
          <w:sz w:val="16"/>
          <w:szCs w:val="16"/>
        </w:rPr>
      </w:pPr>
    </w:p>
    <w:p w:rsidR="00CD6030" w:rsidRPr="00CD6030" w:rsidRDefault="00CD6030" w:rsidP="00CD6030">
      <w:pPr>
        <w:spacing w:after="0" w:line="240" w:lineRule="auto"/>
        <w:rPr>
          <w:sz w:val="16"/>
          <w:szCs w:val="16"/>
        </w:rPr>
      </w:pP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Sur le plan o</w:t>
      </w:r>
      <w:r w:rsidRPr="00CD6030">
        <w:rPr>
          <w:b/>
          <w:bCs/>
          <w:sz w:val="20"/>
          <w:szCs w:val="20"/>
        </w:rPr>
        <w:t>pérationnel</w:t>
      </w: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 xml:space="preserve">Opérationnellement, l’expérimentation est la mise en œuvre d’une action limitée dans le temps menée en coopération entre une entreprise porteuse d’une solution innovante et une collectivité publique. </w:t>
      </w:r>
    </w:p>
    <w:p w:rsidR="00CD6030" w:rsidRPr="00CD6030" w:rsidRDefault="00CD6030" w:rsidP="00CD6030">
      <w:pPr>
        <w:spacing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 xml:space="preserve">Ce projet est structuré autour de conventions multipartites, avec un suivi rigoureux via une comitologie adaptée et un cadre de coopération. </w:t>
      </w: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 xml:space="preserve">Les objectifs de l’expérimentation sont définis dans un cahier des charges comme suit : </w:t>
      </w:r>
    </w:p>
    <w:p w:rsidR="00CD6030" w:rsidRPr="00CD6030" w:rsidRDefault="00CD6030" w:rsidP="00CD6030">
      <w:pPr>
        <w:pStyle w:val="Paragraphedeliste"/>
        <w:numPr>
          <w:ilvl w:val="0"/>
          <w:numId w:val="25"/>
        </w:numPr>
        <w:spacing w:line="240" w:lineRule="auto"/>
        <w:ind w:left="284" w:hanging="284"/>
        <w:rPr>
          <w:sz w:val="20"/>
          <w:szCs w:val="20"/>
        </w:rPr>
      </w:pPr>
      <w:r w:rsidRPr="00CD6030">
        <w:rPr>
          <w:sz w:val="20"/>
          <w:szCs w:val="20"/>
        </w:rPr>
        <w:t xml:space="preserve">Des critères de succès partagés par les parties prenantes, </w:t>
      </w:r>
    </w:p>
    <w:p w:rsidR="00CD6030" w:rsidRPr="00CD6030" w:rsidRDefault="00CD6030" w:rsidP="00CD6030">
      <w:pPr>
        <w:pStyle w:val="Paragraphedeliste"/>
        <w:numPr>
          <w:ilvl w:val="0"/>
          <w:numId w:val="25"/>
        </w:numPr>
        <w:spacing w:line="240" w:lineRule="auto"/>
        <w:ind w:left="284" w:hanging="284"/>
        <w:rPr>
          <w:sz w:val="20"/>
          <w:szCs w:val="20"/>
        </w:rPr>
      </w:pPr>
      <w:r w:rsidRPr="00CD6030">
        <w:rPr>
          <w:sz w:val="20"/>
          <w:szCs w:val="20"/>
        </w:rPr>
        <w:t xml:space="preserve">Des éléments financiers et budgétaires, </w:t>
      </w:r>
    </w:p>
    <w:p w:rsidR="00CD6030" w:rsidRPr="00CD6030" w:rsidRDefault="00CD6030" w:rsidP="00CD6030">
      <w:pPr>
        <w:pStyle w:val="Paragraphedeliste"/>
        <w:numPr>
          <w:ilvl w:val="0"/>
          <w:numId w:val="25"/>
        </w:numPr>
        <w:spacing w:line="240" w:lineRule="auto"/>
        <w:ind w:left="284" w:hanging="284"/>
        <w:rPr>
          <w:sz w:val="20"/>
          <w:szCs w:val="20"/>
        </w:rPr>
      </w:pPr>
      <w:r w:rsidRPr="00CD6030">
        <w:rPr>
          <w:sz w:val="20"/>
          <w:szCs w:val="20"/>
        </w:rPr>
        <w:t xml:space="preserve">Un calendrier, </w:t>
      </w:r>
    </w:p>
    <w:p w:rsidR="00CD6030" w:rsidRPr="00CD6030" w:rsidRDefault="00CD6030" w:rsidP="00CD6030">
      <w:pPr>
        <w:pStyle w:val="Paragraphedeliste"/>
        <w:numPr>
          <w:ilvl w:val="0"/>
          <w:numId w:val="25"/>
        </w:numPr>
        <w:spacing w:line="240" w:lineRule="auto"/>
        <w:ind w:left="284" w:hanging="284"/>
        <w:rPr>
          <w:sz w:val="20"/>
          <w:szCs w:val="20"/>
        </w:rPr>
      </w:pPr>
      <w:r w:rsidRPr="00CD6030">
        <w:rPr>
          <w:sz w:val="20"/>
          <w:szCs w:val="20"/>
        </w:rPr>
        <w:t xml:space="preserve">Des indicateurs de suivi et d’évaluation, </w:t>
      </w:r>
    </w:p>
    <w:p w:rsidR="00CD6030" w:rsidRPr="00CD6030" w:rsidRDefault="00CD6030" w:rsidP="00CD6030">
      <w:pPr>
        <w:pStyle w:val="Paragraphedeliste"/>
        <w:numPr>
          <w:ilvl w:val="0"/>
          <w:numId w:val="25"/>
        </w:numPr>
        <w:spacing w:line="240" w:lineRule="auto"/>
        <w:ind w:left="284" w:hanging="284"/>
        <w:rPr>
          <w:sz w:val="20"/>
          <w:szCs w:val="20"/>
        </w:rPr>
      </w:pPr>
      <w:r w:rsidRPr="00CD6030">
        <w:rPr>
          <w:sz w:val="20"/>
          <w:szCs w:val="20"/>
        </w:rPr>
        <w:t xml:space="preserve">Des instances de suivi et de gouvernance, </w:t>
      </w:r>
    </w:p>
    <w:p w:rsidR="00CD6030" w:rsidRPr="00CD6030" w:rsidRDefault="00CD6030" w:rsidP="00CD6030">
      <w:pPr>
        <w:pStyle w:val="Paragraphedeliste"/>
        <w:numPr>
          <w:ilvl w:val="0"/>
          <w:numId w:val="25"/>
        </w:numPr>
        <w:spacing w:after="0" w:line="240" w:lineRule="auto"/>
        <w:ind w:left="284" w:hanging="284"/>
        <w:rPr>
          <w:sz w:val="20"/>
          <w:szCs w:val="20"/>
        </w:rPr>
      </w:pPr>
      <w:r w:rsidRPr="00CD6030">
        <w:rPr>
          <w:sz w:val="20"/>
          <w:szCs w:val="20"/>
        </w:rPr>
        <w:t xml:space="preserve">Un plan de communication décliné et mise en œuvre par toutes les parties prenantes, pour assurer la transparence et la visibilité des résultats. </w:t>
      </w:r>
    </w:p>
    <w:p w:rsidR="00CD6030" w:rsidRDefault="00CD6030" w:rsidP="00CD6030">
      <w:pPr>
        <w:spacing w:after="0" w:line="240" w:lineRule="auto"/>
        <w:rPr>
          <w:sz w:val="20"/>
          <w:szCs w:val="20"/>
        </w:rPr>
      </w:pPr>
    </w:p>
    <w:p w:rsidR="00CD6030" w:rsidRPr="00CD6030" w:rsidRDefault="00CD6030" w:rsidP="00CD6030">
      <w:pPr>
        <w:spacing w:after="0" w:line="240" w:lineRule="auto"/>
        <w:rPr>
          <w:sz w:val="20"/>
          <w:szCs w:val="20"/>
        </w:rPr>
      </w:pPr>
      <w:r w:rsidRPr="00CD6030">
        <w:rPr>
          <w:sz w:val="20"/>
          <w:szCs w:val="20"/>
        </w:rPr>
        <w:t>Le projet est évalué à travers un bilan, permettant d’adapter ou de déployer la solution à plus grande échelle en fonction de sa réussite. Le cas échéant, l’expérimentation peut également prendre place dans le cadre d’un Appel à Manifestation d’Intérêt (AMI).</w:t>
      </w:r>
    </w:p>
    <w:p w:rsidR="00CD6030" w:rsidRDefault="00CD6030" w:rsidP="00CD6030"/>
    <w:p w:rsidR="00940EBE" w:rsidRDefault="00940EBE" w:rsidP="00EE535F">
      <w:pPr>
        <w:pStyle w:val="Sous-titre"/>
      </w:pPr>
      <w:r>
        <w:t>#</w:t>
      </w:r>
      <w:r w:rsidR="00CD6030">
        <w:t>2</w:t>
      </w:r>
      <w:r>
        <w:t> : Définition de ce qu’est une « ville pilote »</w:t>
      </w:r>
    </w:p>
    <w:p w:rsidR="00307AE0" w:rsidRPr="00940EBE" w:rsidRDefault="00307AE0" w:rsidP="00CD2BE0">
      <w:pPr>
        <w:tabs>
          <w:tab w:val="left" w:pos="8789"/>
        </w:tabs>
        <w:spacing w:after="0"/>
        <w:rPr>
          <w:rStyle w:val="Accentuationlgre"/>
          <w:u w:val="single"/>
        </w:rPr>
      </w:pPr>
      <w:r w:rsidRPr="00940EBE">
        <w:rPr>
          <w:rStyle w:val="Accentuationlgre"/>
          <w:u w:val="single"/>
        </w:rPr>
        <w:tab/>
      </w:r>
    </w:p>
    <w:p w:rsidR="00307AE0" w:rsidRPr="00307AE0" w:rsidRDefault="00307AE0" w:rsidP="00CD2BE0">
      <w:pPr>
        <w:spacing w:after="0"/>
      </w:pPr>
      <w:r w:rsidRPr="00307AE0">
        <w:t>Une « ville pilote » est une commune spécifiquement engagée dans la co-construction du projet. Elle désigne un référent interne clairement identifié, interlocuteur régulier de PEMB. Ce référent participe activement à l'organisation d'ateliers, réunions et échanges périodiques (fréquence à définir ensemble), permettant :</w:t>
      </w:r>
    </w:p>
    <w:p w:rsidR="00307AE0" w:rsidRPr="00307AE0" w:rsidRDefault="00307AE0" w:rsidP="00CD2BE0">
      <w:pPr>
        <w:numPr>
          <w:ilvl w:val="0"/>
          <w:numId w:val="15"/>
        </w:numPr>
        <w:spacing w:after="0"/>
      </w:pPr>
      <w:r w:rsidRPr="00307AE0">
        <w:t>D’identifier et formaliser précisément les problématiques locales prioritaires.</w:t>
      </w:r>
    </w:p>
    <w:p w:rsidR="00307AE0" w:rsidRPr="00307AE0" w:rsidRDefault="00307AE0" w:rsidP="00CD2BE0">
      <w:pPr>
        <w:numPr>
          <w:ilvl w:val="0"/>
          <w:numId w:val="15"/>
        </w:numPr>
        <w:spacing w:after="0"/>
      </w:pPr>
      <w:r w:rsidRPr="00307AE0">
        <w:t>De contribuer directement à la validation des grandes étapes du projet par le consortium.</w:t>
      </w:r>
    </w:p>
    <w:p w:rsidR="00307AE0" w:rsidRPr="00307AE0" w:rsidRDefault="00307AE0" w:rsidP="00CD2BE0">
      <w:pPr>
        <w:numPr>
          <w:ilvl w:val="0"/>
          <w:numId w:val="15"/>
        </w:numPr>
        <w:spacing w:after="0"/>
      </w:pPr>
      <w:r w:rsidRPr="00307AE0">
        <w:t>De tester et valider concrètement les cas d'usages et fonctionnalités proposées par la solutio</w:t>
      </w:r>
      <w:r w:rsidR="004052FC">
        <w:t>n</w:t>
      </w:r>
      <w:r w:rsidRPr="00307AE0">
        <w:t>, les outils de communication, et les utilisations opérationnelles internes.</w:t>
      </w:r>
    </w:p>
    <w:p w:rsidR="00307AE0" w:rsidRDefault="00307AE0" w:rsidP="00CD2BE0">
      <w:pPr>
        <w:spacing w:after="0"/>
      </w:pPr>
    </w:p>
    <w:p w:rsidR="00307AE0" w:rsidRPr="00307AE0" w:rsidRDefault="00307AE0" w:rsidP="00CD2BE0">
      <w:pPr>
        <w:spacing w:after="0"/>
      </w:pPr>
      <w:r w:rsidRPr="00307AE0">
        <w:t>En contrepartie, la ville pilote bénéficie :</w:t>
      </w:r>
    </w:p>
    <w:p w:rsidR="00307AE0" w:rsidRPr="00307AE0" w:rsidRDefault="00307AE0" w:rsidP="00CD2BE0">
      <w:pPr>
        <w:numPr>
          <w:ilvl w:val="0"/>
          <w:numId w:val="16"/>
        </w:numPr>
        <w:spacing w:after="0"/>
      </w:pPr>
      <w:r w:rsidRPr="00307AE0">
        <w:t>D’un accès privilégié aux résultats spécifiques et personnalisés de l'expérimentation.</w:t>
      </w:r>
    </w:p>
    <w:p w:rsidR="00307AE0" w:rsidRPr="00307AE0" w:rsidRDefault="00307AE0" w:rsidP="00CD2BE0">
      <w:pPr>
        <w:numPr>
          <w:ilvl w:val="0"/>
          <w:numId w:val="16"/>
        </w:numPr>
        <w:spacing w:after="0"/>
      </w:pPr>
      <w:r w:rsidRPr="00307AE0">
        <w:t xml:space="preserve">D’un accompagnement technique renforcé par </w:t>
      </w:r>
      <w:r w:rsidR="004052FC">
        <w:t xml:space="preserve">PEMB et ses partenaires éventuels </w:t>
      </w:r>
      <w:r w:rsidRPr="00307AE0">
        <w:t>tout au long de l'expérimentation.</w:t>
      </w:r>
    </w:p>
    <w:p w:rsidR="00307AE0" w:rsidRPr="00307AE0" w:rsidRDefault="00307AE0" w:rsidP="00CD2BE0">
      <w:pPr>
        <w:numPr>
          <w:ilvl w:val="0"/>
          <w:numId w:val="16"/>
        </w:numPr>
        <w:spacing w:after="0"/>
      </w:pPr>
      <w:r w:rsidRPr="00307AE0">
        <w:t>D’une visibilité accrue sur le territoire et potentiellement à l’échelle nationale et internationale (salons, publications, etc.).</w:t>
      </w:r>
    </w:p>
    <w:p w:rsidR="00307AE0" w:rsidRDefault="00307AE0" w:rsidP="00CD2BE0">
      <w:pPr>
        <w:spacing w:after="0"/>
      </w:pPr>
    </w:p>
    <w:p w:rsidR="00307AE0" w:rsidRPr="00307AE0" w:rsidRDefault="00307AE0" w:rsidP="00CD2BE0">
      <w:pPr>
        <w:spacing w:after="0"/>
      </w:pPr>
      <w:r w:rsidRPr="00307AE0">
        <w:t>Des critères explicites de sélection des villes pilotes incluent notamment :</w:t>
      </w:r>
    </w:p>
    <w:p w:rsidR="00307AE0" w:rsidRPr="00307AE0" w:rsidRDefault="00307AE0" w:rsidP="00CD2BE0">
      <w:pPr>
        <w:numPr>
          <w:ilvl w:val="0"/>
          <w:numId w:val="17"/>
        </w:numPr>
        <w:spacing w:after="0"/>
      </w:pPr>
      <w:r w:rsidRPr="00307AE0">
        <w:t>La diversité et représentativité des problématiques locales traitées.</w:t>
      </w:r>
    </w:p>
    <w:p w:rsidR="00307AE0" w:rsidRPr="00307AE0" w:rsidRDefault="00307AE0" w:rsidP="00CD2BE0">
      <w:pPr>
        <w:numPr>
          <w:ilvl w:val="0"/>
          <w:numId w:val="17"/>
        </w:numPr>
        <w:spacing w:after="0"/>
      </w:pPr>
      <w:r w:rsidRPr="00307AE0">
        <w:t>L'engagement politique et technique réel de la commune.</w:t>
      </w:r>
    </w:p>
    <w:p w:rsidR="00307AE0" w:rsidRPr="00307AE0" w:rsidRDefault="00307AE0" w:rsidP="00CD2BE0">
      <w:pPr>
        <w:numPr>
          <w:ilvl w:val="0"/>
          <w:numId w:val="17"/>
        </w:numPr>
        <w:spacing w:after="0"/>
      </w:pPr>
      <w:r w:rsidRPr="00307AE0">
        <w:t>La capacité opérationnelle de suivi (ressources humaines dédiées et disponibles).</w:t>
      </w:r>
    </w:p>
    <w:p w:rsidR="00307AE0" w:rsidRDefault="00307AE0" w:rsidP="00CD2BE0">
      <w:pPr>
        <w:spacing w:after="0"/>
        <w:rPr>
          <w:b/>
          <w:bCs/>
        </w:rPr>
      </w:pPr>
    </w:p>
    <w:p w:rsidR="00307AE0" w:rsidRDefault="00307AE0" w:rsidP="00CD2BE0">
      <w:pPr>
        <w:spacing w:after="0"/>
      </w:pPr>
      <w:r w:rsidRPr="00307AE0">
        <w:rPr>
          <w:b/>
          <w:bCs/>
        </w:rPr>
        <w:t>Concernant les « autres villes » :</w:t>
      </w:r>
      <w:r w:rsidRPr="00307AE0">
        <w:br/>
        <w:t>Elles bénéficient d'une information régulière sur l'avancée générale du projet</w:t>
      </w:r>
      <w:r w:rsidR="00401536">
        <w:t xml:space="preserve"> notamment via les réunions mensuelles des « cafés des ambassadeurs »</w:t>
      </w:r>
      <w:r w:rsidRPr="00307AE0">
        <w:t>. Elles pourront être ponctuellement sollicitées pour fournir des données à mutualiser</w:t>
      </w:r>
      <w:r w:rsidR="005F7DBC">
        <w:t xml:space="preserve"> ou autre</w:t>
      </w:r>
      <w:r w:rsidR="00B06FBE">
        <w:t>s</w:t>
      </w:r>
      <w:r w:rsidRPr="00307AE0">
        <w:t>, mais sans obligation d’un investissement régulier en termes de temps et d'échanges.</w:t>
      </w:r>
    </w:p>
    <w:p w:rsidR="00286645" w:rsidRDefault="00286645" w:rsidP="00CD2BE0">
      <w:pPr>
        <w:spacing w:after="0"/>
      </w:pPr>
    </w:p>
    <w:p w:rsidR="00286645" w:rsidRPr="00307AE0" w:rsidRDefault="00286645" w:rsidP="00CD2BE0">
      <w:pPr>
        <w:spacing w:after="0"/>
      </w:pPr>
      <w:r w:rsidRPr="004A1E3A">
        <w:rPr>
          <w:b/>
        </w:rPr>
        <w:t>Une charte d’engagement</w:t>
      </w:r>
      <w:r w:rsidR="004A1E3A">
        <w:rPr>
          <w:u w:val="single"/>
        </w:rPr>
        <w:t xml:space="preserve"> </w:t>
      </w:r>
      <w:r w:rsidR="004A1E3A" w:rsidRPr="004A1E3A">
        <w:t>est un document</w:t>
      </w:r>
      <w:r w:rsidR="004A1E3A">
        <w:rPr>
          <w:u w:val="single"/>
        </w:rPr>
        <w:t xml:space="preserve"> </w:t>
      </w:r>
      <w:r w:rsidR="004A1E3A">
        <w:t>signé</w:t>
      </w:r>
      <w:r>
        <w:t xml:space="preserve"> des 2 parties « ville pilote</w:t>
      </w:r>
      <w:r w:rsidR="005405D2">
        <w:t> »</w:t>
      </w:r>
      <w:r>
        <w:t xml:space="preserve"> et PEMB </w:t>
      </w:r>
      <w:r w:rsidR="004A1E3A">
        <w:t xml:space="preserve">qui </w:t>
      </w:r>
      <w:r>
        <w:t>valide l’engagement mutuel.</w:t>
      </w:r>
    </w:p>
    <w:p w:rsidR="00961CF6" w:rsidRDefault="00961CF6">
      <w:pPr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</w:p>
    <w:p w:rsidR="00EE535F" w:rsidRDefault="00EE535F" w:rsidP="00EE535F">
      <w:pPr>
        <w:pStyle w:val="Sous-titre"/>
      </w:pPr>
      <w:r>
        <w:t>#</w:t>
      </w:r>
      <w:r w:rsidR="00CD6030">
        <w:t>3</w:t>
      </w:r>
      <w:r>
        <w:t xml:space="preserve"> les territoires d’expérimentation</w:t>
      </w:r>
      <w:r w:rsidR="00CD6030">
        <w:t xml:space="preserve"> SOLAR MAP</w:t>
      </w:r>
    </w:p>
    <w:p w:rsidR="00EE535F" w:rsidRPr="008A2AE6" w:rsidRDefault="00EE535F" w:rsidP="00EE535F">
      <w:pPr>
        <w:pStyle w:val="Paragraphedeliste"/>
        <w:numPr>
          <w:ilvl w:val="0"/>
          <w:numId w:val="22"/>
        </w:numPr>
        <w:spacing w:after="0" w:line="240" w:lineRule="auto"/>
        <w:ind w:left="284" w:hanging="284"/>
        <w:rPr>
          <w:rFonts w:cstheme="minorHAnsi"/>
        </w:rPr>
      </w:pPr>
      <w:r>
        <w:rPr>
          <w:rFonts w:cstheme="minorHAnsi"/>
        </w:rPr>
        <w:t>Ville pilote :</w:t>
      </w:r>
      <w:r w:rsidRPr="008A2AE6">
        <w:rPr>
          <w:rFonts w:cstheme="minorHAnsi"/>
        </w:rPr>
        <w:t xml:space="preserve"> Vincennes (confirmée)</w:t>
      </w:r>
    </w:p>
    <w:p w:rsidR="00EE535F" w:rsidRPr="008A2AE6" w:rsidRDefault="00EE535F" w:rsidP="00EE535F">
      <w:pPr>
        <w:pStyle w:val="Paragraphedeliste"/>
        <w:numPr>
          <w:ilvl w:val="0"/>
          <w:numId w:val="22"/>
        </w:numPr>
        <w:spacing w:after="0" w:line="240" w:lineRule="auto"/>
        <w:ind w:left="284" w:hanging="284"/>
        <w:rPr>
          <w:rFonts w:cstheme="minorHAnsi"/>
        </w:rPr>
      </w:pPr>
      <w:r w:rsidRPr="008A2AE6">
        <w:rPr>
          <w:rFonts w:cstheme="minorHAnsi"/>
        </w:rPr>
        <w:t xml:space="preserve">Autres communes du territoire </w:t>
      </w:r>
      <w:r>
        <w:rPr>
          <w:rFonts w:cstheme="minorHAnsi"/>
        </w:rPr>
        <w:t xml:space="preserve">PEMB </w:t>
      </w:r>
      <w:r w:rsidRPr="008A2AE6">
        <w:rPr>
          <w:rFonts w:cstheme="minorHAnsi"/>
        </w:rPr>
        <w:t>en soutien ponctuel (ateliers participatifs, tests d’usage, collecte de données)</w:t>
      </w:r>
    </w:p>
    <w:p w:rsidR="00CD6030" w:rsidRDefault="00CD6030" w:rsidP="00EE535F"/>
    <w:p w:rsidR="00CD6030" w:rsidRDefault="00CD6030" w:rsidP="00CD6030">
      <w:pPr>
        <w:pStyle w:val="Sous-titre"/>
      </w:pPr>
      <w:r>
        <w:t>#4 : Pourquoi avoir choisi CYTHELIA dans cette expérimentation</w:t>
      </w:r>
    </w:p>
    <w:p w:rsidR="00CD6030" w:rsidRPr="00EE535F" w:rsidRDefault="00CD6030" w:rsidP="00CD6030">
      <w:pPr>
        <w:pStyle w:val="Paragraphedeliste"/>
        <w:numPr>
          <w:ilvl w:val="0"/>
          <w:numId w:val="22"/>
        </w:numPr>
        <w:spacing w:after="0" w:line="240" w:lineRule="auto"/>
        <w:ind w:left="284" w:hanging="284"/>
        <w:rPr>
          <w:rFonts w:cstheme="minorHAnsi"/>
        </w:rPr>
      </w:pPr>
      <w:r w:rsidRPr="00EE535F">
        <w:rPr>
          <w:rFonts w:cstheme="minorHAnsi"/>
        </w:rPr>
        <w:t xml:space="preserve">30 ans d'expérience reconnue  </w:t>
      </w:r>
    </w:p>
    <w:p w:rsidR="000C4388" w:rsidRDefault="005405D2" w:rsidP="00CD6030">
      <w:pPr>
        <w:pStyle w:val="Paragraphedeliste"/>
        <w:numPr>
          <w:ilvl w:val="0"/>
          <w:numId w:val="22"/>
        </w:numPr>
        <w:spacing w:after="0" w:line="240" w:lineRule="auto"/>
        <w:ind w:left="284" w:hanging="284"/>
        <w:rPr>
          <w:rFonts w:cstheme="minorHAnsi"/>
        </w:rPr>
      </w:pPr>
      <w:r>
        <w:rPr>
          <w:rFonts w:cstheme="minorHAnsi"/>
        </w:rPr>
        <w:t>Lauréat de l’</w:t>
      </w:r>
      <w:r w:rsidR="00CD6030" w:rsidRPr="00EE535F">
        <w:rPr>
          <w:rFonts w:cstheme="minorHAnsi"/>
        </w:rPr>
        <w:t xml:space="preserve">AAP </w:t>
      </w:r>
      <w:r>
        <w:rPr>
          <w:rFonts w:cstheme="minorHAnsi"/>
        </w:rPr>
        <w:t xml:space="preserve">de l’IGN sur « les </w:t>
      </w:r>
      <w:r w:rsidR="00CD6030" w:rsidRPr="00EE535F">
        <w:rPr>
          <w:rFonts w:cstheme="minorHAnsi"/>
        </w:rPr>
        <w:t>données Lidar</w:t>
      </w:r>
      <w:r>
        <w:rPr>
          <w:rFonts w:cstheme="minorHAnsi"/>
        </w:rPr>
        <w:t> » en 2024 et incubation à l’</w:t>
      </w:r>
      <w:proofErr w:type="spellStart"/>
      <w:r>
        <w:rPr>
          <w:rFonts w:cstheme="minorHAnsi"/>
        </w:rPr>
        <w:t>IGNfab</w:t>
      </w:r>
      <w:proofErr w:type="spellEnd"/>
      <w:r>
        <w:rPr>
          <w:rFonts w:cstheme="minorHAnsi"/>
        </w:rPr>
        <w:t>.</w:t>
      </w:r>
    </w:p>
    <w:p w:rsidR="00CD6030" w:rsidRPr="00EE535F" w:rsidRDefault="000C4388" w:rsidP="00CD6030">
      <w:pPr>
        <w:pStyle w:val="Paragraphedeliste"/>
        <w:numPr>
          <w:ilvl w:val="0"/>
          <w:numId w:val="22"/>
        </w:numPr>
        <w:spacing w:after="0" w:line="240" w:lineRule="auto"/>
        <w:ind w:left="284" w:hanging="284"/>
        <w:rPr>
          <w:rFonts w:cstheme="minorHAnsi"/>
        </w:rPr>
      </w:pPr>
      <w:r>
        <w:rPr>
          <w:rFonts w:cstheme="minorHAnsi"/>
        </w:rPr>
        <w:t>Partenariat avec IGN</w:t>
      </w:r>
      <w:r w:rsidR="00CD6030" w:rsidRPr="00EE535F">
        <w:rPr>
          <w:rFonts w:cstheme="minorHAnsi"/>
        </w:rPr>
        <w:t xml:space="preserve">  </w:t>
      </w:r>
    </w:p>
    <w:p w:rsidR="00CD6030" w:rsidRPr="00EE535F" w:rsidRDefault="00CD6030" w:rsidP="00CD6030">
      <w:pPr>
        <w:pStyle w:val="Paragraphedeliste"/>
        <w:numPr>
          <w:ilvl w:val="0"/>
          <w:numId w:val="22"/>
        </w:numPr>
        <w:spacing w:after="0" w:line="240" w:lineRule="auto"/>
        <w:ind w:left="284" w:hanging="284"/>
        <w:rPr>
          <w:rFonts w:cstheme="minorHAnsi"/>
        </w:rPr>
      </w:pPr>
      <w:r w:rsidRPr="00EE535F">
        <w:rPr>
          <w:rFonts w:cstheme="minorHAnsi"/>
        </w:rPr>
        <w:t xml:space="preserve">Filiale TSI </w:t>
      </w:r>
      <w:r>
        <w:rPr>
          <w:rFonts w:cstheme="minorHAnsi"/>
        </w:rPr>
        <w:t>(</w:t>
      </w:r>
      <w:r w:rsidRPr="00EE535F">
        <w:rPr>
          <w:rFonts w:cstheme="minorHAnsi"/>
        </w:rPr>
        <w:t>Trace Software International</w:t>
      </w:r>
      <w:r>
        <w:rPr>
          <w:rFonts w:cstheme="minorHAnsi"/>
        </w:rPr>
        <w:t>)</w:t>
      </w:r>
    </w:p>
    <w:p w:rsidR="00CD6030" w:rsidRDefault="00CD6030" w:rsidP="00CD6030">
      <w:pPr>
        <w:pStyle w:val="Paragraphedeliste"/>
        <w:numPr>
          <w:ilvl w:val="0"/>
          <w:numId w:val="22"/>
        </w:numPr>
        <w:spacing w:after="0" w:line="240" w:lineRule="auto"/>
        <w:ind w:left="284" w:hanging="284"/>
        <w:rPr>
          <w:rFonts w:cstheme="minorHAnsi"/>
        </w:rPr>
      </w:pPr>
      <w:r w:rsidRPr="00EE535F">
        <w:rPr>
          <w:rFonts w:cstheme="minorHAnsi"/>
        </w:rPr>
        <w:t>Fiabilité démontrée sur projets similaires</w:t>
      </w:r>
    </w:p>
    <w:p w:rsidR="00CD6030" w:rsidRDefault="00CD6030" w:rsidP="00EE535F"/>
    <w:sectPr w:rsidR="00CD6030" w:rsidSect="00EE535F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6F5" w:rsidRDefault="00AC26F5" w:rsidP="00EE535F">
      <w:pPr>
        <w:spacing w:after="0" w:line="240" w:lineRule="auto"/>
      </w:pPr>
      <w:r>
        <w:separator/>
      </w:r>
    </w:p>
  </w:endnote>
  <w:endnote w:type="continuationSeparator" w:id="0">
    <w:p w:rsidR="00AC26F5" w:rsidRDefault="00AC26F5" w:rsidP="00EE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5F" w:rsidRDefault="00EE535F">
    <w:pPr>
      <w:pStyle w:val="Pieddepage"/>
      <w:pBdr>
        <w:bottom w:val="single" w:sz="6" w:space="1" w:color="auto"/>
      </w:pBdr>
    </w:pPr>
  </w:p>
  <w:p w:rsidR="00EE535F" w:rsidRDefault="00CD57BB">
    <w:pPr>
      <w:pStyle w:val="Pieddepage"/>
    </w:pPr>
    <w:r>
      <w:t xml:space="preserve">FM août </w:t>
    </w:r>
    <w:r w:rsidR="00EE535F">
      <w:t xml:space="preserve">2025 - Page </w:t>
    </w:r>
    <w:r w:rsidR="00EE535F">
      <w:rPr>
        <w:b/>
        <w:bCs/>
      </w:rPr>
      <w:fldChar w:fldCharType="begin"/>
    </w:r>
    <w:r w:rsidR="00EE535F">
      <w:rPr>
        <w:b/>
        <w:bCs/>
      </w:rPr>
      <w:instrText>PAGE  \* Arabic  \* MERGEFORMAT</w:instrText>
    </w:r>
    <w:r w:rsidR="00EE535F">
      <w:rPr>
        <w:b/>
        <w:bCs/>
      </w:rPr>
      <w:fldChar w:fldCharType="separate"/>
    </w:r>
    <w:r w:rsidR="00EE535F">
      <w:rPr>
        <w:b/>
        <w:bCs/>
      </w:rPr>
      <w:t>1</w:t>
    </w:r>
    <w:r w:rsidR="00EE535F">
      <w:rPr>
        <w:b/>
        <w:bCs/>
      </w:rPr>
      <w:fldChar w:fldCharType="end"/>
    </w:r>
    <w:r w:rsidR="00EE535F">
      <w:t xml:space="preserve"> sur </w:t>
    </w:r>
    <w:r w:rsidR="00EE535F">
      <w:rPr>
        <w:b/>
        <w:bCs/>
      </w:rPr>
      <w:fldChar w:fldCharType="begin"/>
    </w:r>
    <w:r w:rsidR="00EE535F">
      <w:rPr>
        <w:b/>
        <w:bCs/>
      </w:rPr>
      <w:instrText>NUMPAGES  \* Arabic  \* MERGEFORMAT</w:instrText>
    </w:r>
    <w:r w:rsidR="00EE535F">
      <w:rPr>
        <w:b/>
        <w:bCs/>
      </w:rPr>
      <w:fldChar w:fldCharType="separate"/>
    </w:r>
    <w:r w:rsidR="00EE535F">
      <w:rPr>
        <w:b/>
        <w:bCs/>
      </w:rPr>
      <w:t>2</w:t>
    </w:r>
    <w:r w:rsidR="00EE535F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6F5" w:rsidRDefault="00AC26F5" w:rsidP="00EE535F">
      <w:pPr>
        <w:spacing w:after="0" w:line="240" w:lineRule="auto"/>
      </w:pPr>
      <w:r>
        <w:separator/>
      </w:r>
    </w:p>
  </w:footnote>
  <w:footnote w:type="continuationSeparator" w:id="0">
    <w:p w:rsidR="00AC26F5" w:rsidRDefault="00AC26F5" w:rsidP="00EE5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4932"/>
    <w:multiLevelType w:val="multilevel"/>
    <w:tmpl w:val="955E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12E35"/>
    <w:multiLevelType w:val="multilevel"/>
    <w:tmpl w:val="DE2A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77132"/>
    <w:multiLevelType w:val="multilevel"/>
    <w:tmpl w:val="B94E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06C5C"/>
    <w:multiLevelType w:val="hybridMultilevel"/>
    <w:tmpl w:val="A1E8BFE8"/>
    <w:lvl w:ilvl="0" w:tplc="A2B6C0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EC8C42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80C1E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F20DE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BC374E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C6A3D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7EE594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9C78CC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B8A57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BF7433B"/>
    <w:multiLevelType w:val="multilevel"/>
    <w:tmpl w:val="C36C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63324"/>
    <w:multiLevelType w:val="multilevel"/>
    <w:tmpl w:val="3AB2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05E16"/>
    <w:multiLevelType w:val="hybridMultilevel"/>
    <w:tmpl w:val="8C5AF6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211BD"/>
    <w:multiLevelType w:val="hybridMultilevel"/>
    <w:tmpl w:val="4E14B4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232916"/>
    <w:multiLevelType w:val="multilevel"/>
    <w:tmpl w:val="FC98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CF6ACB"/>
    <w:multiLevelType w:val="hybridMultilevel"/>
    <w:tmpl w:val="5FB8A8CA"/>
    <w:lvl w:ilvl="0" w:tplc="6D5CF670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11AFC"/>
    <w:multiLevelType w:val="hybridMultilevel"/>
    <w:tmpl w:val="F306F52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992289"/>
    <w:multiLevelType w:val="multilevel"/>
    <w:tmpl w:val="0FFE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B73C4"/>
    <w:multiLevelType w:val="hybridMultilevel"/>
    <w:tmpl w:val="121C079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7114C52"/>
    <w:multiLevelType w:val="multilevel"/>
    <w:tmpl w:val="3646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F0701"/>
    <w:multiLevelType w:val="multilevel"/>
    <w:tmpl w:val="9D04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730BA5"/>
    <w:multiLevelType w:val="multilevel"/>
    <w:tmpl w:val="AFA0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FE4B73"/>
    <w:multiLevelType w:val="multilevel"/>
    <w:tmpl w:val="9032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343485"/>
    <w:multiLevelType w:val="hybridMultilevel"/>
    <w:tmpl w:val="2DEC3F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36877"/>
    <w:multiLevelType w:val="hybridMultilevel"/>
    <w:tmpl w:val="D5DCE27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06108B"/>
    <w:multiLevelType w:val="multilevel"/>
    <w:tmpl w:val="BA54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363FCD"/>
    <w:multiLevelType w:val="multilevel"/>
    <w:tmpl w:val="BCB2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384EFC"/>
    <w:multiLevelType w:val="multilevel"/>
    <w:tmpl w:val="C3B8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7A6FD9"/>
    <w:multiLevelType w:val="multilevel"/>
    <w:tmpl w:val="4CB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8"/>
  </w:num>
  <w:num w:numId="4">
    <w:abstractNumId w:val="21"/>
  </w:num>
  <w:num w:numId="5">
    <w:abstractNumId w:val="20"/>
  </w:num>
  <w:num w:numId="6">
    <w:abstractNumId w:val="13"/>
  </w:num>
  <w:num w:numId="7">
    <w:abstractNumId w:val="15"/>
  </w:num>
  <w:num w:numId="8">
    <w:abstractNumId w:val="22"/>
  </w:num>
  <w:num w:numId="9">
    <w:abstractNumId w:val="2"/>
  </w:num>
  <w:num w:numId="10">
    <w:abstractNumId w:val="1"/>
  </w:num>
  <w:num w:numId="11">
    <w:abstractNumId w:val="4"/>
  </w:num>
  <w:num w:numId="12">
    <w:abstractNumId w:val="18"/>
  </w:num>
  <w:num w:numId="13">
    <w:abstractNumId w:val="0"/>
  </w:num>
  <w:num w:numId="14">
    <w:abstractNumId w:val="6"/>
  </w:num>
  <w:num w:numId="15">
    <w:abstractNumId w:val="14"/>
  </w:num>
  <w:num w:numId="16">
    <w:abstractNumId w:val="5"/>
  </w:num>
  <w:num w:numId="17">
    <w:abstractNumId w:val="19"/>
  </w:num>
  <w:num w:numId="18">
    <w:abstractNumId w:val="9"/>
  </w:num>
  <w:num w:numId="19">
    <w:abstractNumId w:val="9"/>
  </w:num>
  <w:num w:numId="20">
    <w:abstractNumId w:val="6"/>
  </w:num>
  <w:num w:numId="21">
    <w:abstractNumId w:val="17"/>
  </w:num>
  <w:num w:numId="22">
    <w:abstractNumId w:val="12"/>
  </w:num>
  <w:num w:numId="23">
    <w:abstractNumId w:val="3"/>
  </w:num>
  <w:num w:numId="24">
    <w:abstractNumId w:val="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54"/>
    <w:rsid w:val="0005587C"/>
    <w:rsid w:val="000A0C08"/>
    <w:rsid w:val="000C4388"/>
    <w:rsid w:val="000F64FD"/>
    <w:rsid w:val="00127579"/>
    <w:rsid w:val="00127FFB"/>
    <w:rsid w:val="00132968"/>
    <w:rsid w:val="001C0B5E"/>
    <w:rsid w:val="001C3B8E"/>
    <w:rsid w:val="001C7D0A"/>
    <w:rsid w:val="002121A3"/>
    <w:rsid w:val="00286645"/>
    <w:rsid w:val="002F6342"/>
    <w:rsid w:val="00307AE0"/>
    <w:rsid w:val="00401536"/>
    <w:rsid w:val="004021C4"/>
    <w:rsid w:val="004052FC"/>
    <w:rsid w:val="00436FB9"/>
    <w:rsid w:val="00467BAB"/>
    <w:rsid w:val="004859AA"/>
    <w:rsid w:val="004A1E3A"/>
    <w:rsid w:val="0052321F"/>
    <w:rsid w:val="005405D2"/>
    <w:rsid w:val="00593457"/>
    <w:rsid w:val="005E6DBD"/>
    <w:rsid w:val="005F7DBC"/>
    <w:rsid w:val="0061413E"/>
    <w:rsid w:val="006C5163"/>
    <w:rsid w:val="00746F54"/>
    <w:rsid w:val="008920E6"/>
    <w:rsid w:val="008F46EB"/>
    <w:rsid w:val="009064BC"/>
    <w:rsid w:val="009112FC"/>
    <w:rsid w:val="009177BF"/>
    <w:rsid w:val="0093642F"/>
    <w:rsid w:val="00940EBE"/>
    <w:rsid w:val="00961CF6"/>
    <w:rsid w:val="00967D59"/>
    <w:rsid w:val="009B222E"/>
    <w:rsid w:val="00A44C7C"/>
    <w:rsid w:val="00A56EC0"/>
    <w:rsid w:val="00A967C0"/>
    <w:rsid w:val="00AC26F5"/>
    <w:rsid w:val="00B06FBE"/>
    <w:rsid w:val="00B347C1"/>
    <w:rsid w:val="00BF53E2"/>
    <w:rsid w:val="00C372FE"/>
    <w:rsid w:val="00C80C38"/>
    <w:rsid w:val="00CA5E9F"/>
    <w:rsid w:val="00CD2BE0"/>
    <w:rsid w:val="00CD57BB"/>
    <w:rsid w:val="00CD6030"/>
    <w:rsid w:val="00CE25B2"/>
    <w:rsid w:val="00CE73BC"/>
    <w:rsid w:val="00D83934"/>
    <w:rsid w:val="00DB5F10"/>
    <w:rsid w:val="00DE7979"/>
    <w:rsid w:val="00E33294"/>
    <w:rsid w:val="00E673B4"/>
    <w:rsid w:val="00ED3F7D"/>
    <w:rsid w:val="00EE535F"/>
    <w:rsid w:val="00F3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B42F"/>
  <w15:chartTrackingRefBased/>
  <w15:docId w15:val="{95E73338-F747-4CF6-BA20-39D414BA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AE0"/>
  </w:style>
  <w:style w:type="paragraph" w:styleId="Titre1">
    <w:name w:val="heading 1"/>
    <w:basedOn w:val="Normal"/>
    <w:next w:val="Normal"/>
    <w:link w:val="Titre1Car"/>
    <w:uiPriority w:val="9"/>
    <w:qFormat/>
    <w:rsid w:val="001C3B8E"/>
    <w:pPr>
      <w:keepNext/>
      <w:keepLines/>
      <w:numPr>
        <w:numId w:val="18"/>
      </w:numPr>
      <w:spacing w:before="360" w:after="80"/>
      <w:outlineLvl w:val="0"/>
    </w:pPr>
    <w:rPr>
      <w:rFonts w:eastAsiaTheme="majorEastAsia" w:cstheme="majorBidi"/>
      <w:b/>
      <w:caps/>
      <w:color w:val="595959" w:themeColor="text1" w:themeTint="A6"/>
      <w:sz w:val="44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6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6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6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6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6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6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6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6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3B8E"/>
    <w:rPr>
      <w:rFonts w:eastAsiaTheme="majorEastAsia" w:cstheme="majorBidi"/>
      <w:b/>
      <w:caps/>
      <w:color w:val="595959" w:themeColor="text1" w:themeTint="A6"/>
      <w:sz w:val="44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46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6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6F5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6F5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6F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6F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6F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6F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6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6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6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6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6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6F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6F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6F5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6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6F5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6F54"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sid w:val="00940EBE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EE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535F"/>
  </w:style>
  <w:style w:type="paragraph" w:styleId="Pieddepage">
    <w:name w:val="footer"/>
    <w:basedOn w:val="Normal"/>
    <w:link w:val="PieddepageCar"/>
    <w:uiPriority w:val="99"/>
    <w:unhideWhenUsed/>
    <w:rsid w:val="00EE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535F"/>
  </w:style>
  <w:style w:type="paragraph" w:styleId="En-ttedetabledesmatires">
    <w:name w:val="TOC Heading"/>
    <w:basedOn w:val="Titre1"/>
    <w:next w:val="Normal"/>
    <w:uiPriority w:val="39"/>
    <w:unhideWhenUsed/>
    <w:qFormat/>
    <w:rsid w:val="00467BAB"/>
    <w:pPr>
      <w:numPr>
        <w:numId w:val="0"/>
      </w:numPr>
      <w:spacing w:before="240" w:after="0"/>
      <w:outlineLvl w:val="9"/>
    </w:pPr>
    <w:rPr>
      <w:rFonts w:asciiTheme="majorHAnsi" w:hAnsiTheme="majorHAnsi"/>
      <w:b w:val="0"/>
      <w:caps w:val="0"/>
      <w:color w:val="2F5496" w:themeColor="accent1" w:themeShade="BF"/>
      <w:kern w:val="0"/>
      <w:sz w:val="32"/>
      <w:szCs w:val="32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467BAB"/>
    <w:pPr>
      <w:spacing w:after="100"/>
      <w:ind w:left="220"/>
    </w:pPr>
    <w:rPr>
      <w:rFonts w:eastAsiaTheme="minorEastAsia" w:cs="Times New Roman"/>
      <w:kern w:val="0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467BAB"/>
    <w:pPr>
      <w:spacing w:after="100"/>
    </w:pPr>
    <w:rPr>
      <w:rFonts w:eastAsiaTheme="minorEastAsia" w:cs="Times New Roman"/>
      <w:kern w:val="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467BAB"/>
    <w:pPr>
      <w:spacing w:after="100"/>
      <w:ind w:left="440"/>
    </w:pPr>
    <w:rPr>
      <w:rFonts w:eastAsiaTheme="minorEastAsia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467BA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7BA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67B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0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5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2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93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318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5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1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4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06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60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35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9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13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0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2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738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119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1562731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814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85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36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34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8353406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753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89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875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113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0562438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59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42495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7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343082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755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90968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82871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994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77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1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7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809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41341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59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5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3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1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24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71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8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7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3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07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22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048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6952007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443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1161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05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0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075467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369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769825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54096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859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4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0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3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64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155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08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6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63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71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8879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7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95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409546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01847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30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4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9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72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97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57705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27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74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5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6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65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102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72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78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278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047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20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6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421956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902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237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5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79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12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729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9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0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4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9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71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007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8970259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212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470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8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1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79951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676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18668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11949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57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4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6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136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8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36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3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7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10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63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0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8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37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53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65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53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1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56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397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8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4524770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857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0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04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757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0367478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454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55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27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946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6459861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5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790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8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04265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741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6577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69952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9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8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5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8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1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31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627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0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6592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04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1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6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0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38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1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23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45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76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59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4305733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645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599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88174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08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43420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91872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27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5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72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4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16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0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2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33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50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8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331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22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44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598921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038023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71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9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8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0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85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95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56031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39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5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68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1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0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88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051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82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2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680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201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1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24688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45359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40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6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95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12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19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5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0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3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28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144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09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0102976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79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858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3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03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5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915827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259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6802">
                                          <w:marLeft w:val="75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9224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1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5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6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53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71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33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7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6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38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30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30F0C-BEF6-4811-A6F3-26B1137C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2560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GUEYE</dc:creator>
  <cp:keywords/>
  <dc:description/>
  <cp:lastModifiedBy>Frédérique Marquet</cp:lastModifiedBy>
  <cp:revision>24</cp:revision>
  <dcterms:created xsi:type="dcterms:W3CDTF">2025-08-07T12:38:00Z</dcterms:created>
  <dcterms:modified xsi:type="dcterms:W3CDTF">2025-08-07T13:34:00Z</dcterms:modified>
</cp:coreProperties>
</file>